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88" w:rsidRPr="000573E6" w:rsidRDefault="00D77D88" w:rsidP="000573E6">
      <w:pPr>
        <w:spacing w:after="0"/>
        <w:jc w:val="both"/>
        <w:rPr>
          <w:lang w:val="en-GB"/>
        </w:rPr>
      </w:pPr>
      <w:bookmarkStart w:id="0" w:name="_GoBack"/>
      <w:bookmarkEnd w:id="0"/>
    </w:p>
    <w:p w:rsidR="008F2362" w:rsidRPr="000573E6" w:rsidRDefault="008F2362" w:rsidP="000573E6">
      <w:pPr>
        <w:spacing w:after="0"/>
        <w:jc w:val="both"/>
        <w:rPr>
          <w:lang w:val="en-GB"/>
        </w:rPr>
      </w:pPr>
    </w:p>
    <w:p w:rsidR="008F2362" w:rsidRPr="000573E6" w:rsidRDefault="00AF6ED7" w:rsidP="000573E6">
      <w:pPr>
        <w:spacing w:after="0"/>
        <w:jc w:val="right"/>
        <w:rPr>
          <w:lang w:val="en-GB"/>
        </w:rPr>
      </w:pPr>
      <w:r w:rsidRPr="000573E6">
        <w:rPr>
          <w:lang w:val="en-GB"/>
        </w:rPr>
        <w:t>22.07</w:t>
      </w:r>
      <w:r w:rsidR="008F2362" w:rsidRPr="000573E6">
        <w:rPr>
          <w:lang w:val="en-GB"/>
        </w:rPr>
        <w:t>.2016</w:t>
      </w:r>
    </w:p>
    <w:p w:rsidR="008F2362" w:rsidRPr="000573E6" w:rsidRDefault="008F2362" w:rsidP="000573E6">
      <w:pPr>
        <w:spacing w:after="0"/>
        <w:jc w:val="both"/>
        <w:rPr>
          <w:lang w:val="en-GB"/>
        </w:rPr>
      </w:pPr>
    </w:p>
    <w:p w:rsidR="008F2362" w:rsidRPr="000573E6" w:rsidRDefault="008F2362" w:rsidP="000573E6">
      <w:pPr>
        <w:spacing w:after="0"/>
        <w:jc w:val="both"/>
        <w:rPr>
          <w:lang w:val="en-GB"/>
        </w:rPr>
      </w:pPr>
    </w:p>
    <w:p w:rsidR="008F2362" w:rsidRPr="000573E6" w:rsidRDefault="008F2362" w:rsidP="000573E6">
      <w:pPr>
        <w:spacing w:after="0"/>
        <w:jc w:val="both"/>
        <w:rPr>
          <w:b/>
          <w:lang w:val="en-GB"/>
        </w:rPr>
      </w:pPr>
    </w:p>
    <w:p w:rsidR="008F2362" w:rsidRPr="000573E6" w:rsidRDefault="006E674B" w:rsidP="000573E6">
      <w:pPr>
        <w:spacing w:after="0"/>
        <w:jc w:val="both"/>
        <w:rPr>
          <w:lang w:val="en-GB"/>
        </w:rPr>
      </w:pPr>
      <w:r w:rsidRPr="000573E6">
        <w:rPr>
          <w:b/>
          <w:lang w:val="en-GB"/>
        </w:rPr>
        <w:t xml:space="preserve">Memo: </w:t>
      </w:r>
      <w:r w:rsidR="00AF6ED7" w:rsidRPr="000573E6">
        <w:rPr>
          <w:b/>
          <w:lang w:val="en-GB"/>
        </w:rPr>
        <w:t>European Pillar of Social Rights</w:t>
      </w:r>
    </w:p>
    <w:p w:rsidR="008F2362" w:rsidRPr="000573E6" w:rsidRDefault="008F2362" w:rsidP="000573E6">
      <w:pPr>
        <w:spacing w:after="0"/>
        <w:jc w:val="both"/>
        <w:rPr>
          <w:lang w:val="en-GB"/>
        </w:rPr>
      </w:pPr>
    </w:p>
    <w:p w:rsidR="00AF6ED7" w:rsidRPr="000573E6" w:rsidRDefault="00EA5597" w:rsidP="000573E6">
      <w:pPr>
        <w:pStyle w:val="ListParagraph"/>
        <w:numPr>
          <w:ilvl w:val="0"/>
          <w:numId w:val="6"/>
        </w:numPr>
        <w:spacing w:after="0"/>
        <w:ind w:left="426" w:hanging="426"/>
        <w:jc w:val="both"/>
        <w:rPr>
          <w:lang w:val="en-GB"/>
        </w:rPr>
      </w:pPr>
      <w:r w:rsidRPr="000573E6">
        <w:rPr>
          <w:lang w:val="en-GB"/>
        </w:rPr>
        <w:t xml:space="preserve">On 8 March 2016 the European Commission </w:t>
      </w:r>
      <w:r w:rsidR="00A40463" w:rsidRPr="000573E6">
        <w:rPr>
          <w:lang w:val="en-GB"/>
        </w:rPr>
        <w:t>published the</w:t>
      </w:r>
      <w:r w:rsidRPr="000573E6">
        <w:rPr>
          <w:lang w:val="en-GB"/>
        </w:rPr>
        <w:t xml:space="preserve"> communication “</w:t>
      </w:r>
      <w:r w:rsidR="00A40463" w:rsidRPr="000573E6">
        <w:rPr>
          <w:b/>
          <w:lang w:val="en-GB"/>
        </w:rPr>
        <w:t>Launching a</w:t>
      </w:r>
      <w:r w:rsidRPr="000573E6">
        <w:rPr>
          <w:b/>
          <w:lang w:val="en-GB"/>
        </w:rPr>
        <w:t xml:space="preserve"> consultation on a European Pillar of Social Rights</w:t>
      </w:r>
      <w:r w:rsidRPr="000573E6">
        <w:rPr>
          <w:lang w:val="en-GB"/>
        </w:rPr>
        <w:t>”</w:t>
      </w:r>
      <w:r w:rsidR="00A40463" w:rsidRPr="000573E6">
        <w:rPr>
          <w:rStyle w:val="FootnoteReference"/>
          <w:lang w:val="en-GB"/>
        </w:rPr>
        <w:footnoteReference w:id="1"/>
      </w:r>
      <w:r w:rsidRPr="000573E6">
        <w:rPr>
          <w:lang w:val="en-GB"/>
        </w:rPr>
        <w:t>.</w:t>
      </w:r>
    </w:p>
    <w:p w:rsidR="00AF0963" w:rsidRPr="000573E6" w:rsidRDefault="00AF0963" w:rsidP="000573E6">
      <w:pPr>
        <w:spacing w:after="0"/>
        <w:ind w:left="284" w:hanging="284"/>
        <w:jc w:val="both"/>
        <w:rPr>
          <w:lang w:val="en-GB"/>
        </w:rPr>
      </w:pPr>
    </w:p>
    <w:p w:rsidR="00EA5597" w:rsidRPr="000573E6" w:rsidRDefault="00A40463" w:rsidP="000573E6">
      <w:pPr>
        <w:spacing w:after="0"/>
        <w:ind w:left="284"/>
        <w:jc w:val="both"/>
        <w:rPr>
          <w:lang w:val="en-GB"/>
        </w:rPr>
      </w:pPr>
      <w:r w:rsidRPr="000573E6">
        <w:rPr>
          <w:lang w:val="en-GB"/>
        </w:rPr>
        <w:t>The President of the European Commission, Jean-Claude Junker, announced this initiative already in his State of the Union address in the European Parliament on 9 September 2015: “We have to step up the work for a fair and truly pan-European labour market. (…) As part of these efforts, I will want to develop a European Pillar of Social Rights, which takes account of the changing realities of Europe's societies and the world of work. And which can serve as a compass for the renewed convergence within the euro area.  … I believe we do well to start with this initiative within the euro area, while allowing other EU Member States to join in if they want to do so.”</w:t>
      </w:r>
      <w:r w:rsidRPr="000573E6">
        <w:rPr>
          <w:rStyle w:val="FootnoteReference"/>
          <w:lang w:val="en-GB"/>
        </w:rPr>
        <w:footnoteReference w:id="2"/>
      </w:r>
    </w:p>
    <w:p w:rsidR="00AF0963" w:rsidRPr="000573E6" w:rsidRDefault="00AF0963" w:rsidP="000573E6">
      <w:pPr>
        <w:spacing w:after="0"/>
        <w:jc w:val="both"/>
        <w:rPr>
          <w:lang w:val="en-GB"/>
        </w:rPr>
      </w:pPr>
    </w:p>
    <w:p w:rsidR="00AF0963" w:rsidRPr="000573E6" w:rsidRDefault="00AF0963" w:rsidP="000573E6">
      <w:pPr>
        <w:pStyle w:val="ListParagraph"/>
        <w:numPr>
          <w:ilvl w:val="0"/>
          <w:numId w:val="6"/>
        </w:numPr>
        <w:spacing w:after="0"/>
        <w:ind w:left="426" w:hanging="426"/>
        <w:jc w:val="both"/>
        <w:rPr>
          <w:lang w:val="en-GB"/>
        </w:rPr>
      </w:pPr>
      <w:r w:rsidRPr="000573E6">
        <w:rPr>
          <w:lang w:val="en-GB"/>
        </w:rPr>
        <w:t>The communication explains the reasons for the proposal of a European pillar of social rights and presents the procedure of the public consultation, which will be concluded by 31 December 2016.</w:t>
      </w:r>
    </w:p>
    <w:p w:rsidR="00AF0963" w:rsidRPr="000573E6" w:rsidRDefault="00AF0963" w:rsidP="00884031">
      <w:pPr>
        <w:spacing w:before="60" w:after="0"/>
        <w:ind w:left="284"/>
        <w:jc w:val="both"/>
        <w:rPr>
          <w:lang w:val="en-GB"/>
        </w:rPr>
      </w:pPr>
      <w:r w:rsidRPr="000573E6">
        <w:rPr>
          <w:lang w:val="en-GB"/>
        </w:rPr>
        <w:t>The communication is accompanied by</w:t>
      </w:r>
      <w:r w:rsidR="00825258">
        <w:rPr>
          <w:lang w:val="en-GB"/>
        </w:rPr>
        <w:t>:</w:t>
      </w:r>
    </w:p>
    <w:p w:rsidR="00AF0963" w:rsidRPr="000573E6" w:rsidRDefault="00AF0963" w:rsidP="000573E6">
      <w:pPr>
        <w:pStyle w:val="ListParagraph"/>
        <w:numPr>
          <w:ilvl w:val="0"/>
          <w:numId w:val="3"/>
        </w:numPr>
        <w:spacing w:after="0"/>
        <w:ind w:left="567" w:hanging="283"/>
        <w:jc w:val="both"/>
        <w:rPr>
          <w:lang w:val="en-GB"/>
        </w:rPr>
      </w:pPr>
      <w:r w:rsidRPr="000573E6">
        <w:rPr>
          <w:lang w:val="en-GB"/>
        </w:rPr>
        <w:t>the “First preliminary outline of a European Pillar of Social Rights”</w:t>
      </w:r>
      <w:r w:rsidRPr="000573E6">
        <w:rPr>
          <w:rStyle w:val="FootnoteReference"/>
          <w:lang w:val="en-GB"/>
        </w:rPr>
        <w:footnoteReference w:id="3"/>
      </w:r>
      <w:r w:rsidRPr="000573E6">
        <w:rPr>
          <w:lang w:val="en-GB"/>
        </w:rPr>
        <w:t>;</w:t>
      </w:r>
    </w:p>
    <w:p w:rsidR="00AF0963" w:rsidRPr="000573E6" w:rsidRDefault="00AF0963" w:rsidP="000573E6">
      <w:pPr>
        <w:pStyle w:val="ListParagraph"/>
        <w:numPr>
          <w:ilvl w:val="0"/>
          <w:numId w:val="3"/>
        </w:numPr>
        <w:spacing w:after="0"/>
        <w:ind w:left="567" w:hanging="283"/>
        <w:jc w:val="both"/>
        <w:rPr>
          <w:lang w:val="en-GB"/>
        </w:rPr>
      </w:pPr>
      <w:r w:rsidRPr="000573E6">
        <w:rPr>
          <w:lang w:val="en-GB"/>
        </w:rPr>
        <w:t>the Commission staff working document “The EU social acquis”</w:t>
      </w:r>
      <w:r w:rsidRPr="000573E6">
        <w:rPr>
          <w:rStyle w:val="FootnoteReference"/>
          <w:lang w:val="en-GB"/>
        </w:rPr>
        <w:footnoteReference w:id="4"/>
      </w:r>
      <w:r w:rsidRPr="000573E6">
        <w:rPr>
          <w:lang w:val="en-GB"/>
        </w:rPr>
        <w:t>; and</w:t>
      </w:r>
    </w:p>
    <w:p w:rsidR="00AF0963" w:rsidRPr="000573E6" w:rsidRDefault="00AF0963" w:rsidP="000573E6">
      <w:pPr>
        <w:pStyle w:val="ListParagraph"/>
        <w:numPr>
          <w:ilvl w:val="0"/>
          <w:numId w:val="3"/>
        </w:numPr>
        <w:spacing w:after="0"/>
        <w:ind w:left="567" w:hanging="283"/>
        <w:jc w:val="both"/>
        <w:rPr>
          <w:lang w:val="en-GB"/>
        </w:rPr>
      </w:pPr>
      <w:r w:rsidRPr="000573E6">
        <w:rPr>
          <w:lang w:val="en-GB"/>
        </w:rPr>
        <w:t>the Commission staff working document “Key economic, employment and social trends behind a European Pillar of Social Rights”</w:t>
      </w:r>
      <w:r w:rsidRPr="000573E6">
        <w:rPr>
          <w:rStyle w:val="FootnoteReference"/>
          <w:lang w:val="en-GB"/>
        </w:rPr>
        <w:footnoteReference w:id="5"/>
      </w:r>
      <w:r w:rsidRPr="000573E6">
        <w:rPr>
          <w:lang w:val="en-GB"/>
        </w:rPr>
        <w:t>.</w:t>
      </w:r>
    </w:p>
    <w:p w:rsidR="00E507B2" w:rsidRPr="000573E6" w:rsidRDefault="00E507B2" w:rsidP="000573E6">
      <w:pPr>
        <w:spacing w:after="0"/>
        <w:jc w:val="both"/>
        <w:rPr>
          <w:lang w:val="en-GB"/>
        </w:rPr>
      </w:pPr>
    </w:p>
    <w:p w:rsidR="00E507B2" w:rsidRPr="000573E6" w:rsidRDefault="00E507B2" w:rsidP="000573E6">
      <w:pPr>
        <w:spacing w:after="0"/>
        <w:ind w:left="426" w:hanging="426"/>
        <w:jc w:val="both"/>
        <w:rPr>
          <w:lang w:val="en-GB"/>
        </w:rPr>
      </w:pPr>
      <w:r w:rsidRPr="000573E6">
        <w:rPr>
          <w:b/>
          <w:lang w:val="en-GB"/>
        </w:rPr>
        <w:t>III.</w:t>
      </w:r>
      <w:r w:rsidR="000573E6">
        <w:rPr>
          <w:b/>
          <w:lang w:val="en-GB"/>
        </w:rPr>
        <w:tab/>
      </w:r>
      <w:r w:rsidR="006A199A" w:rsidRPr="000573E6">
        <w:rPr>
          <w:lang w:val="en-GB"/>
        </w:rPr>
        <w:t xml:space="preserve">The communication exposes the </w:t>
      </w:r>
      <w:r w:rsidR="006A199A" w:rsidRPr="000573E6">
        <w:rPr>
          <w:b/>
          <w:i/>
          <w:lang w:val="en-GB"/>
        </w:rPr>
        <w:t>rationale</w:t>
      </w:r>
      <w:r w:rsidR="006A199A" w:rsidRPr="000573E6">
        <w:rPr>
          <w:lang w:val="en-GB"/>
        </w:rPr>
        <w:t xml:space="preserve"> for the initiative</w:t>
      </w:r>
      <w:r w:rsidR="002918A5" w:rsidRPr="000573E6">
        <w:rPr>
          <w:lang w:val="en-GB"/>
        </w:rPr>
        <w:t xml:space="preserve"> towards a European pillar of social rights</w:t>
      </w:r>
      <w:r w:rsidR="006A199A" w:rsidRPr="000573E6">
        <w:rPr>
          <w:lang w:val="en-GB"/>
        </w:rPr>
        <w:t>.</w:t>
      </w:r>
    </w:p>
    <w:p w:rsidR="007572F6" w:rsidRPr="000573E6" w:rsidRDefault="007572F6" w:rsidP="000573E6">
      <w:pPr>
        <w:spacing w:after="0"/>
        <w:ind w:left="284" w:hanging="284"/>
        <w:jc w:val="both"/>
        <w:rPr>
          <w:lang w:val="en-GB"/>
        </w:rPr>
      </w:pPr>
    </w:p>
    <w:p w:rsidR="006A199A" w:rsidRPr="000573E6" w:rsidRDefault="006A199A" w:rsidP="000573E6">
      <w:pPr>
        <w:pStyle w:val="ListParagraph"/>
        <w:numPr>
          <w:ilvl w:val="0"/>
          <w:numId w:val="7"/>
        </w:numPr>
        <w:spacing w:after="0"/>
        <w:ind w:left="851" w:hanging="425"/>
        <w:jc w:val="both"/>
        <w:rPr>
          <w:lang w:val="en-GB"/>
        </w:rPr>
      </w:pPr>
      <w:r w:rsidRPr="000573E6">
        <w:rPr>
          <w:lang w:val="en-GB"/>
        </w:rPr>
        <w:t xml:space="preserve">In the time of </w:t>
      </w:r>
      <w:r w:rsidRPr="000573E6">
        <w:rPr>
          <w:b/>
          <w:i/>
          <w:lang w:val="en-GB"/>
        </w:rPr>
        <w:t>crisis</w:t>
      </w:r>
      <w:r w:rsidRPr="000573E6">
        <w:rPr>
          <w:b/>
          <w:lang w:val="en-GB"/>
        </w:rPr>
        <w:t xml:space="preserve"> </w:t>
      </w:r>
      <w:r w:rsidRPr="000573E6">
        <w:rPr>
          <w:lang w:val="en-GB"/>
        </w:rPr>
        <w:t>it could be observed that those Member States performed well in which ambitious and efficient social policies are “a central part of their growth model”</w:t>
      </w:r>
      <w:r w:rsidRPr="000573E6">
        <w:rPr>
          <w:rStyle w:val="FootnoteReference"/>
          <w:lang w:val="en-GB"/>
        </w:rPr>
        <w:footnoteReference w:id="6"/>
      </w:r>
      <w:r w:rsidRPr="000573E6">
        <w:rPr>
          <w:lang w:val="en-GB"/>
        </w:rPr>
        <w:t xml:space="preserve">. </w:t>
      </w:r>
    </w:p>
    <w:p w:rsidR="007572F6" w:rsidRPr="000573E6" w:rsidRDefault="007572F6" w:rsidP="000573E6">
      <w:pPr>
        <w:spacing w:after="0"/>
        <w:ind w:left="709" w:hanging="284"/>
        <w:jc w:val="both"/>
        <w:rPr>
          <w:lang w:val="en-GB"/>
        </w:rPr>
      </w:pPr>
    </w:p>
    <w:p w:rsidR="006A53CA" w:rsidRPr="000573E6" w:rsidRDefault="006A53CA" w:rsidP="000573E6">
      <w:pPr>
        <w:pStyle w:val="ListParagraph"/>
        <w:numPr>
          <w:ilvl w:val="0"/>
          <w:numId w:val="7"/>
        </w:numPr>
        <w:spacing w:after="0"/>
        <w:ind w:left="851" w:hanging="425"/>
        <w:rPr>
          <w:lang w:val="en-GB"/>
        </w:rPr>
      </w:pPr>
      <w:r w:rsidRPr="000573E6">
        <w:rPr>
          <w:b/>
          <w:i/>
          <w:lang w:val="en-GB"/>
        </w:rPr>
        <w:t>New challenges</w:t>
      </w:r>
      <w:r w:rsidRPr="000573E6">
        <w:rPr>
          <w:lang w:val="en-GB"/>
        </w:rPr>
        <w:t xml:space="preserve"> can be foreseen and have to be dealt with: changes in the societal structures, </w:t>
      </w:r>
      <w:r w:rsidR="00763497">
        <w:rPr>
          <w:lang w:val="en-GB"/>
        </w:rPr>
        <w:t xml:space="preserve">e.g. </w:t>
      </w:r>
      <w:r w:rsidRPr="000573E6">
        <w:rPr>
          <w:lang w:val="en-GB"/>
        </w:rPr>
        <w:t xml:space="preserve">by the development of demography; changes in the </w:t>
      </w:r>
      <w:r w:rsidR="006A259B" w:rsidRPr="000573E6">
        <w:rPr>
          <w:lang w:val="en-GB"/>
        </w:rPr>
        <w:t xml:space="preserve">world of </w:t>
      </w:r>
      <w:r w:rsidRPr="000573E6">
        <w:rPr>
          <w:lang w:val="en-GB"/>
        </w:rPr>
        <w:t xml:space="preserve">work, </w:t>
      </w:r>
      <w:r w:rsidR="00763497">
        <w:rPr>
          <w:lang w:val="en-GB"/>
        </w:rPr>
        <w:t>e.g</w:t>
      </w:r>
      <w:r w:rsidR="00E41EEF">
        <w:rPr>
          <w:lang w:val="en-GB"/>
        </w:rPr>
        <w:t>.</w:t>
      </w:r>
      <w:r w:rsidRPr="000573E6">
        <w:rPr>
          <w:lang w:val="en-GB"/>
        </w:rPr>
        <w:t xml:space="preserve"> by digitalisation. Labour markets and welfare states have to </w:t>
      </w:r>
      <w:r w:rsidRPr="000573E6">
        <w:rPr>
          <w:lang w:val="en-GB"/>
        </w:rPr>
        <w:lastRenderedPageBreak/>
        <w:t xml:space="preserve">find an answer to these changes. </w:t>
      </w:r>
      <w:r w:rsidR="000573E6">
        <w:rPr>
          <w:lang w:val="en-GB"/>
        </w:rPr>
        <w:br/>
      </w:r>
      <w:r w:rsidR="000573E6">
        <w:rPr>
          <w:lang w:val="en-GB"/>
        </w:rPr>
        <w:br/>
      </w:r>
      <w:r w:rsidRPr="000573E6">
        <w:rPr>
          <w:lang w:val="en-GB"/>
        </w:rPr>
        <w:t xml:space="preserve">Built on the principle of subsidiarity the European Union </w:t>
      </w:r>
      <w:r w:rsidR="007572F6" w:rsidRPr="000573E6">
        <w:rPr>
          <w:lang w:val="en-GB"/>
        </w:rPr>
        <w:t xml:space="preserve">has to play a responsible role </w:t>
      </w:r>
      <w:r w:rsidRPr="000573E6">
        <w:rPr>
          <w:lang w:val="en-GB"/>
        </w:rPr>
        <w:t>as laid down in the Treaties and with its legal acquis in the social and employment policy area</w:t>
      </w:r>
      <w:r w:rsidRPr="000573E6">
        <w:rPr>
          <w:rStyle w:val="FootnoteReference"/>
          <w:lang w:val="en-GB"/>
        </w:rPr>
        <w:footnoteReference w:id="7"/>
      </w:r>
      <w:r w:rsidR="002918A5" w:rsidRPr="000573E6">
        <w:rPr>
          <w:lang w:val="en-GB"/>
        </w:rPr>
        <w:t>.</w:t>
      </w:r>
      <w:r w:rsidRPr="000573E6">
        <w:rPr>
          <w:lang w:val="en-GB"/>
        </w:rPr>
        <w:t xml:space="preserve"> </w:t>
      </w:r>
    </w:p>
    <w:p w:rsidR="007572F6" w:rsidRPr="000573E6" w:rsidRDefault="007572F6" w:rsidP="000573E6">
      <w:pPr>
        <w:spacing w:after="0"/>
        <w:ind w:left="709" w:hanging="284"/>
        <w:jc w:val="both"/>
        <w:rPr>
          <w:lang w:val="en-GB"/>
        </w:rPr>
      </w:pPr>
    </w:p>
    <w:p w:rsidR="006A53CA" w:rsidRPr="000573E6" w:rsidRDefault="002918A5" w:rsidP="000573E6">
      <w:pPr>
        <w:pStyle w:val="ListParagraph"/>
        <w:numPr>
          <w:ilvl w:val="0"/>
          <w:numId w:val="7"/>
        </w:numPr>
        <w:spacing w:after="0"/>
        <w:ind w:left="851" w:hanging="425"/>
        <w:jc w:val="both"/>
        <w:rPr>
          <w:lang w:val="en-GB"/>
        </w:rPr>
      </w:pPr>
      <w:r w:rsidRPr="000573E6">
        <w:rPr>
          <w:lang w:val="en-GB"/>
        </w:rPr>
        <w:t>In the last years the social and employment performance between Member S</w:t>
      </w:r>
      <w:r w:rsidR="006A259B" w:rsidRPr="000573E6">
        <w:rPr>
          <w:lang w:val="en-GB"/>
        </w:rPr>
        <w:t xml:space="preserve">tates </w:t>
      </w:r>
      <w:r w:rsidRPr="000573E6">
        <w:rPr>
          <w:lang w:val="en-GB"/>
        </w:rPr>
        <w:t xml:space="preserve">has become </w:t>
      </w:r>
      <w:r w:rsidRPr="000573E6">
        <w:rPr>
          <w:b/>
          <w:i/>
          <w:lang w:val="en-GB"/>
        </w:rPr>
        <w:t>more unequal</w:t>
      </w:r>
      <w:r w:rsidRPr="000573E6">
        <w:rPr>
          <w:lang w:val="en-GB"/>
        </w:rPr>
        <w:t xml:space="preserve"> than before the crisis. This affects also the </w:t>
      </w:r>
      <w:r w:rsidRPr="000573E6">
        <w:rPr>
          <w:b/>
          <w:i/>
          <w:lang w:val="en-GB"/>
        </w:rPr>
        <w:t>euro area</w:t>
      </w:r>
      <w:r w:rsidRPr="000573E6">
        <w:rPr>
          <w:lang w:val="en-GB"/>
        </w:rPr>
        <w:t>, as “too strong divergences in labour market and social performance create a threat to the functioning of the euro area”</w:t>
      </w:r>
      <w:r w:rsidRPr="000573E6">
        <w:rPr>
          <w:rStyle w:val="FootnoteReference"/>
          <w:lang w:val="en-GB"/>
        </w:rPr>
        <w:footnoteReference w:id="8"/>
      </w:r>
      <w:r w:rsidRPr="000573E6">
        <w:rPr>
          <w:lang w:val="en-GB"/>
        </w:rPr>
        <w:t>.</w:t>
      </w:r>
      <w:r w:rsidR="007572F6" w:rsidRPr="000573E6">
        <w:rPr>
          <w:lang w:val="en-GB"/>
        </w:rPr>
        <w:t xml:space="preserve"> </w:t>
      </w:r>
      <w:r w:rsidR="00825258">
        <w:rPr>
          <w:lang w:val="en-GB"/>
        </w:rPr>
        <w:t xml:space="preserve">That is </w:t>
      </w:r>
      <w:r w:rsidR="007572F6" w:rsidRPr="000573E6">
        <w:rPr>
          <w:lang w:val="en-GB"/>
        </w:rPr>
        <w:t>why the proposal addresses first the members of the euro area and invites the other 9 EU Member States to join.</w:t>
      </w:r>
    </w:p>
    <w:p w:rsidR="002918A5" w:rsidRPr="000573E6" w:rsidRDefault="002918A5" w:rsidP="000573E6">
      <w:pPr>
        <w:spacing w:after="0"/>
        <w:jc w:val="both"/>
        <w:rPr>
          <w:lang w:val="en-GB"/>
        </w:rPr>
      </w:pPr>
    </w:p>
    <w:p w:rsidR="007572F6" w:rsidRPr="000573E6" w:rsidRDefault="006A259B" w:rsidP="000573E6">
      <w:pPr>
        <w:pStyle w:val="ListParagraph"/>
        <w:numPr>
          <w:ilvl w:val="0"/>
          <w:numId w:val="6"/>
        </w:numPr>
        <w:spacing w:after="0"/>
        <w:ind w:left="426" w:hanging="426"/>
        <w:jc w:val="both"/>
        <w:rPr>
          <w:lang w:val="en-GB"/>
        </w:rPr>
      </w:pPr>
      <w:r w:rsidRPr="000573E6">
        <w:rPr>
          <w:lang w:val="en-GB"/>
        </w:rPr>
        <w:t>T</w:t>
      </w:r>
      <w:r w:rsidR="007572F6" w:rsidRPr="000573E6">
        <w:rPr>
          <w:lang w:val="en-GB"/>
        </w:rPr>
        <w:t xml:space="preserve">he </w:t>
      </w:r>
      <w:r w:rsidR="007572F6" w:rsidRPr="000573E6">
        <w:rPr>
          <w:b/>
          <w:i/>
          <w:lang w:val="en-GB"/>
        </w:rPr>
        <w:t>aims</w:t>
      </w:r>
      <w:r w:rsidR="007572F6" w:rsidRPr="000573E6">
        <w:rPr>
          <w:lang w:val="en-GB"/>
        </w:rPr>
        <w:t xml:space="preserve"> of the European pillar of social rights shall be:</w:t>
      </w:r>
    </w:p>
    <w:p w:rsidR="002918A5" w:rsidRPr="000573E6" w:rsidRDefault="002918A5" w:rsidP="000573E6">
      <w:pPr>
        <w:spacing w:after="0"/>
        <w:jc w:val="both"/>
        <w:rPr>
          <w:lang w:val="en-GB"/>
        </w:rPr>
      </w:pPr>
    </w:p>
    <w:p w:rsidR="007572F6" w:rsidRPr="000573E6" w:rsidRDefault="007572F6" w:rsidP="000573E6">
      <w:pPr>
        <w:spacing w:after="0"/>
        <w:ind w:left="709" w:hanging="283"/>
        <w:jc w:val="both"/>
        <w:rPr>
          <w:lang w:val="en-GB"/>
        </w:rPr>
      </w:pPr>
      <w:r w:rsidRPr="000573E6">
        <w:rPr>
          <w:lang w:val="en-GB"/>
        </w:rPr>
        <w:t>1</w:t>
      </w:r>
      <w:r w:rsidR="000573E6">
        <w:rPr>
          <w:lang w:val="en-GB"/>
        </w:rPr>
        <w:tab/>
      </w:r>
      <w:r w:rsidRPr="000573E6">
        <w:rPr>
          <w:lang w:val="en-GB"/>
        </w:rPr>
        <w:t xml:space="preserve">.The pillar shall lead </w:t>
      </w:r>
      <w:r w:rsidR="00C20C3E" w:rsidRPr="000573E6">
        <w:rPr>
          <w:lang w:val="en-GB"/>
        </w:rPr>
        <w:t>“as a compass”</w:t>
      </w:r>
      <w:r w:rsidR="00C20C3E" w:rsidRPr="000573E6">
        <w:rPr>
          <w:rStyle w:val="FootnoteReference"/>
          <w:lang w:val="en-GB"/>
        </w:rPr>
        <w:footnoteReference w:id="9"/>
      </w:r>
      <w:r w:rsidR="00C20C3E" w:rsidRPr="000573E6">
        <w:rPr>
          <w:lang w:val="en-GB"/>
        </w:rPr>
        <w:t xml:space="preserve"> </w:t>
      </w:r>
      <w:r w:rsidRPr="000573E6">
        <w:rPr>
          <w:lang w:val="en-GB"/>
        </w:rPr>
        <w:t xml:space="preserve">to an </w:t>
      </w:r>
      <w:r w:rsidRPr="000573E6">
        <w:rPr>
          <w:b/>
          <w:i/>
          <w:lang w:val="en-GB"/>
        </w:rPr>
        <w:t>upward convergence</w:t>
      </w:r>
      <w:r w:rsidRPr="000573E6">
        <w:rPr>
          <w:lang w:val="en-GB"/>
        </w:rPr>
        <w:t xml:space="preserve"> in the social and employment area first within the euro zone, then beyond.</w:t>
      </w:r>
    </w:p>
    <w:p w:rsidR="00784B8B" w:rsidRPr="000573E6" w:rsidRDefault="00784B8B" w:rsidP="000573E6">
      <w:pPr>
        <w:spacing w:after="0"/>
        <w:ind w:left="567"/>
        <w:jc w:val="both"/>
        <w:rPr>
          <w:lang w:val="en-GB"/>
        </w:rPr>
      </w:pPr>
    </w:p>
    <w:p w:rsidR="00784B8B" w:rsidRPr="000573E6" w:rsidRDefault="00784B8B" w:rsidP="000573E6">
      <w:pPr>
        <w:spacing w:after="0"/>
        <w:ind w:left="709" w:hanging="283"/>
        <w:jc w:val="both"/>
        <w:rPr>
          <w:lang w:val="en-GB"/>
        </w:rPr>
      </w:pPr>
      <w:r w:rsidRPr="000573E6">
        <w:rPr>
          <w:lang w:val="en-GB"/>
        </w:rPr>
        <w:t>2.</w:t>
      </w:r>
      <w:r w:rsidR="000573E6">
        <w:rPr>
          <w:lang w:val="en-GB"/>
        </w:rPr>
        <w:tab/>
      </w:r>
      <w:r w:rsidRPr="000573E6">
        <w:rPr>
          <w:lang w:val="en-GB"/>
        </w:rPr>
        <w:t xml:space="preserve">It shall “become a </w:t>
      </w:r>
      <w:r w:rsidRPr="000573E6">
        <w:rPr>
          <w:b/>
          <w:i/>
          <w:lang w:val="en-GB"/>
        </w:rPr>
        <w:t>reference framework to screen</w:t>
      </w:r>
      <w:r w:rsidRPr="000573E6">
        <w:rPr>
          <w:lang w:val="en-GB"/>
        </w:rPr>
        <w:t xml:space="preserve"> the employment and social performance of participating Member States, to </w:t>
      </w:r>
      <w:r w:rsidRPr="000573E6">
        <w:rPr>
          <w:b/>
          <w:i/>
          <w:lang w:val="en-GB"/>
        </w:rPr>
        <w:t>drive reforms</w:t>
      </w:r>
      <w:r w:rsidRPr="000573E6">
        <w:rPr>
          <w:lang w:val="en-GB"/>
        </w:rPr>
        <w:t xml:space="preserve"> at national level”</w:t>
      </w:r>
      <w:r w:rsidRPr="000573E6">
        <w:rPr>
          <w:rStyle w:val="FootnoteReference"/>
          <w:lang w:val="en-GB"/>
        </w:rPr>
        <w:footnoteReference w:id="10"/>
      </w:r>
      <w:r w:rsidRPr="000573E6">
        <w:rPr>
          <w:lang w:val="en-GB"/>
        </w:rPr>
        <w:t>.</w:t>
      </w:r>
    </w:p>
    <w:p w:rsidR="00784B8B" w:rsidRPr="000573E6" w:rsidRDefault="00784B8B" w:rsidP="000573E6">
      <w:pPr>
        <w:spacing w:after="0"/>
        <w:ind w:left="567"/>
        <w:jc w:val="both"/>
        <w:rPr>
          <w:lang w:val="en-GB"/>
        </w:rPr>
      </w:pPr>
    </w:p>
    <w:p w:rsidR="00784B8B" w:rsidRPr="000573E6" w:rsidRDefault="00B30B05" w:rsidP="00992175">
      <w:pPr>
        <w:pStyle w:val="ListParagraph"/>
        <w:numPr>
          <w:ilvl w:val="0"/>
          <w:numId w:val="8"/>
        </w:numPr>
        <w:spacing w:after="0"/>
        <w:jc w:val="both"/>
        <w:rPr>
          <w:lang w:val="en-GB"/>
        </w:rPr>
      </w:pPr>
      <w:r w:rsidRPr="000573E6">
        <w:rPr>
          <w:lang w:val="en-GB"/>
        </w:rPr>
        <w:t>It shall become a contribution</w:t>
      </w:r>
      <w:r w:rsidR="00784B8B" w:rsidRPr="000573E6">
        <w:rPr>
          <w:lang w:val="en-GB"/>
        </w:rPr>
        <w:t xml:space="preserve"> to deepen the </w:t>
      </w:r>
      <w:r w:rsidR="00784B8B" w:rsidRPr="00D87912">
        <w:rPr>
          <w:b/>
          <w:i/>
          <w:lang w:val="en-GB"/>
        </w:rPr>
        <w:t xml:space="preserve">European Economic </w:t>
      </w:r>
      <w:r w:rsidRPr="00D87912">
        <w:rPr>
          <w:b/>
          <w:i/>
          <w:lang w:val="en-GB"/>
        </w:rPr>
        <w:t>and Monetary Union</w:t>
      </w:r>
      <w:r w:rsidRPr="000573E6">
        <w:rPr>
          <w:lang w:val="en-GB"/>
        </w:rPr>
        <w:t xml:space="preserve">, for which a White Paper </w:t>
      </w:r>
      <w:r w:rsidR="00F5641A">
        <w:rPr>
          <w:lang w:val="en-GB"/>
        </w:rPr>
        <w:t xml:space="preserve">by the European Commission </w:t>
      </w:r>
      <w:r w:rsidRPr="000573E6">
        <w:rPr>
          <w:lang w:val="en-GB"/>
        </w:rPr>
        <w:t>is foreseen for spring 2017.</w:t>
      </w:r>
    </w:p>
    <w:p w:rsidR="00784B8B" w:rsidRPr="000573E6" w:rsidRDefault="00784B8B" w:rsidP="000573E6">
      <w:pPr>
        <w:spacing w:after="0"/>
        <w:jc w:val="both"/>
        <w:rPr>
          <w:lang w:val="en-GB"/>
        </w:rPr>
      </w:pPr>
    </w:p>
    <w:p w:rsidR="000E04A9" w:rsidRPr="000573E6" w:rsidRDefault="00B30B05" w:rsidP="000573E6">
      <w:pPr>
        <w:pStyle w:val="ListParagraph"/>
        <w:numPr>
          <w:ilvl w:val="0"/>
          <w:numId w:val="6"/>
        </w:numPr>
        <w:spacing w:after="0"/>
        <w:ind w:left="426" w:hanging="426"/>
        <w:jc w:val="both"/>
        <w:rPr>
          <w:lang w:val="en-GB"/>
        </w:rPr>
      </w:pPr>
      <w:r w:rsidRPr="000573E6">
        <w:rPr>
          <w:lang w:val="en-GB"/>
        </w:rPr>
        <w:t>In its “</w:t>
      </w:r>
      <w:r w:rsidRPr="000573E6">
        <w:rPr>
          <w:b/>
          <w:i/>
          <w:lang w:val="en-GB"/>
        </w:rPr>
        <w:t>first preliminary outline</w:t>
      </w:r>
      <w:r w:rsidRPr="000573E6">
        <w:rPr>
          <w:lang w:val="en-GB"/>
        </w:rPr>
        <w:t>” of the pillar the Commission proposes three main areas. Two of them are dedicated to labour</w:t>
      </w:r>
      <w:r w:rsidR="000E04A9" w:rsidRPr="000573E6">
        <w:rPr>
          <w:lang w:val="en-GB"/>
        </w:rPr>
        <w:t xml:space="preserve"> and employment</w:t>
      </w:r>
      <w:r w:rsidRPr="000573E6">
        <w:rPr>
          <w:lang w:val="en-GB"/>
        </w:rPr>
        <w:t xml:space="preserve">, the third to </w:t>
      </w:r>
      <w:r w:rsidR="000E04A9" w:rsidRPr="000573E6">
        <w:rPr>
          <w:lang w:val="en-GB"/>
        </w:rPr>
        <w:t>social protection. 20 principles are assigned to the three areas</w:t>
      </w:r>
      <w:r w:rsidR="000E04A9" w:rsidRPr="000573E6">
        <w:rPr>
          <w:rStyle w:val="FootnoteReference"/>
          <w:lang w:val="en-GB"/>
        </w:rPr>
        <w:footnoteReference w:id="11"/>
      </w:r>
      <w:r w:rsidR="000E04A9" w:rsidRPr="000573E6">
        <w:rPr>
          <w:lang w:val="en-GB"/>
        </w:rPr>
        <w:t>:</w:t>
      </w:r>
    </w:p>
    <w:p w:rsidR="000E04A9" w:rsidRPr="000573E6" w:rsidRDefault="000E04A9" w:rsidP="000573E6">
      <w:pPr>
        <w:spacing w:after="0"/>
        <w:jc w:val="both"/>
        <w:rPr>
          <w:lang w:val="en-GB"/>
        </w:rPr>
      </w:pPr>
    </w:p>
    <w:p w:rsidR="000E04A9" w:rsidRPr="000573E6" w:rsidRDefault="000E04A9" w:rsidP="000573E6">
      <w:pPr>
        <w:spacing w:after="0"/>
        <w:jc w:val="both"/>
        <w:rPr>
          <w:b/>
          <w:i/>
          <w:lang w:val="en-GB"/>
        </w:rPr>
      </w:pPr>
      <w:r w:rsidRPr="000573E6">
        <w:rPr>
          <w:b/>
          <w:i/>
          <w:lang w:val="en-GB"/>
        </w:rPr>
        <w:t>Chapt</w:t>
      </w:r>
      <w:r w:rsidR="00992175">
        <w:rPr>
          <w:b/>
          <w:i/>
          <w:lang w:val="en-GB"/>
        </w:rPr>
        <w:t>er</w:t>
      </w:r>
      <w:r w:rsidRPr="000573E6">
        <w:rPr>
          <w:b/>
          <w:i/>
          <w:lang w:val="en-GB"/>
        </w:rPr>
        <w:t>1 - Equal opportunities and access to the labour market</w:t>
      </w:r>
    </w:p>
    <w:p w:rsidR="000E04A9" w:rsidRPr="000573E6" w:rsidRDefault="000E04A9" w:rsidP="00884031">
      <w:pPr>
        <w:spacing w:after="0"/>
        <w:ind w:left="709" w:hanging="425"/>
        <w:jc w:val="both"/>
        <w:rPr>
          <w:lang w:val="en-GB"/>
        </w:rPr>
      </w:pPr>
      <w:r w:rsidRPr="000573E6">
        <w:rPr>
          <w:lang w:val="en-GB"/>
        </w:rPr>
        <w:t>1.</w:t>
      </w:r>
      <w:r w:rsidR="00992175">
        <w:rPr>
          <w:lang w:val="en-GB"/>
        </w:rPr>
        <w:tab/>
      </w:r>
      <w:r w:rsidRPr="000573E6">
        <w:rPr>
          <w:lang w:val="en-GB"/>
        </w:rPr>
        <w:t>Skills, education and life-long learning</w:t>
      </w:r>
    </w:p>
    <w:p w:rsidR="000E04A9" w:rsidRPr="000573E6" w:rsidRDefault="000E04A9" w:rsidP="00884031">
      <w:pPr>
        <w:spacing w:after="0"/>
        <w:ind w:left="709" w:hanging="425"/>
        <w:jc w:val="both"/>
        <w:rPr>
          <w:lang w:val="en-GB"/>
        </w:rPr>
      </w:pPr>
      <w:r w:rsidRPr="000573E6">
        <w:rPr>
          <w:lang w:val="en-GB"/>
        </w:rPr>
        <w:t>2.</w:t>
      </w:r>
      <w:r w:rsidR="00992175">
        <w:rPr>
          <w:lang w:val="en-GB"/>
        </w:rPr>
        <w:tab/>
      </w:r>
      <w:r w:rsidRPr="000573E6">
        <w:rPr>
          <w:lang w:val="en-GB"/>
        </w:rPr>
        <w:t>Flexible and secure labour contracts</w:t>
      </w:r>
    </w:p>
    <w:p w:rsidR="000E04A9" w:rsidRPr="000573E6" w:rsidRDefault="000E04A9" w:rsidP="00884031">
      <w:pPr>
        <w:spacing w:after="0"/>
        <w:ind w:left="709" w:hanging="425"/>
        <w:jc w:val="both"/>
        <w:rPr>
          <w:lang w:val="en-GB"/>
        </w:rPr>
      </w:pPr>
      <w:r w:rsidRPr="000573E6">
        <w:rPr>
          <w:lang w:val="en-GB"/>
        </w:rPr>
        <w:t xml:space="preserve">3. </w:t>
      </w:r>
      <w:r w:rsidR="00992175">
        <w:rPr>
          <w:lang w:val="en-GB"/>
        </w:rPr>
        <w:tab/>
      </w:r>
      <w:r w:rsidRPr="000573E6">
        <w:rPr>
          <w:lang w:val="en-GB"/>
        </w:rPr>
        <w:t>Secure professional transitions</w:t>
      </w:r>
    </w:p>
    <w:p w:rsidR="000E04A9" w:rsidRPr="000573E6" w:rsidRDefault="000E04A9" w:rsidP="00884031">
      <w:pPr>
        <w:spacing w:after="0"/>
        <w:ind w:left="709" w:hanging="425"/>
        <w:jc w:val="both"/>
        <w:rPr>
          <w:lang w:val="en-GB"/>
        </w:rPr>
      </w:pPr>
      <w:r w:rsidRPr="000573E6">
        <w:rPr>
          <w:lang w:val="en-GB"/>
        </w:rPr>
        <w:t>4.</w:t>
      </w:r>
      <w:r w:rsidR="00992175">
        <w:rPr>
          <w:lang w:val="en-GB"/>
        </w:rPr>
        <w:tab/>
      </w:r>
      <w:r w:rsidRPr="000573E6">
        <w:rPr>
          <w:lang w:val="en-GB"/>
        </w:rPr>
        <w:t>Active support for employment</w:t>
      </w:r>
    </w:p>
    <w:p w:rsidR="000E04A9" w:rsidRPr="000573E6" w:rsidRDefault="000E04A9" w:rsidP="00884031">
      <w:pPr>
        <w:spacing w:after="0"/>
        <w:ind w:left="709" w:hanging="425"/>
        <w:jc w:val="both"/>
        <w:rPr>
          <w:lang w:val="en-GB"/>
        </w:rPr>
      </w:pPr>
      <w:r w:rsidRPr="000573E6">
        <w:rPr>
          <w:lang w:val="en-GB"/>
        </w:rPr>
        <w:t>5.</w:t>
      </w:r>
      <w:r w:rsidR="00992175">
        <w:rPr>
          <w:lang w:val="en-GB"/>
        </w:rPr>
        <w:tab/>
      </w:r>
      <w:r w:rsidRPr="000573E6">
        <w:rPr>
          <w:lang w:val="en-GB"/>
        </w:rPr>
        <w:t>Gender equality and work-life balance</w:t>
      </w:r>
    </w:p>
    <w:p w:rsidR="000E04A9" w:rsidRPr="000573E6" w:rsidRDefault="000E04A9" w:rsidP="00884031">
      <w:pPr>
        <w:spacing w:after="0"/>
        <w:ind w:left="709" w:hanging="425"/>
        <w:jc w:val="both"/>
        <w:rPr>
          <w:lang w:val="en-GB"/>
        </w:rPr>
      </w:pPr>
      <w:r w:rsidRPr="000573E6">
        <w:rPr>
          <w:lang w:val="en-GB"/>
        </w:rPr>
        <w:t>6.</w:t>
      </w:r>
      <w:r w:rsidR="00992175">
        <w:rPr>
          <w:lang w:val="en-GB"/>
        </w:rPr>
        <w:tab/>
      </w:r>
      <w:r w:rsidRPr="000573E6">
        <w:rPr>
          <w:lang w:val="en-GB"/>
        </w:rPr>
        <w:t>Equal opportunities</w:t>
      </w:r>
    </w:p>
    <w:p w:rsidR="000E04A9" w:rsidRPr="000573E6" w:rsidRDefault="000E04A9" w:rsidP="000573E6">
      <w:pPr>
        <w:spacing w:after="0"/>
        <w:jc w:val="both"/>
        <w:rPr>
          <w:lang w:val="en-GB"/>
        </w:rPr>
      </w:pPr>
    </w:p>
    <w:p w:rsidR="000E04A9" w:rsidRPr="000573E6" w:rsidRDefault="00992175" w:rsidP="000573E6">
      <w:pPr>
        <w:spacing w:after="0"/>
        <w:jc w:val="both"/>
        <w:rPr>
          <w:b/>
          <w:i/>
          <w:lang w:val="en-GB"/>
        </w:rPr>
      </w:pPr>
      <w:r>
        <w:rPr>
          <w:b/>
          <w:i/>
          <w:lang w:val="en-GB"/>
        </w:rPr>
        <w:t xml:space="preserve">Chapter </w:t>
      </w:r>
      <w:r w:rsidR="000E04A9" w:rsidRPr="000573E6">
        <w:rPr>
          <w:b/>
          <w:i/>
          <w:lang w:val="en-GB"/>
        </w:rPr>
        <w:t>2 – Fair working conditions</w:t>
      </w:r>
    </w:p>
    <w:p w:rsidR="000E04A9" w:rsidRPr="000573E6" w:rsidRDefault="000E04A9" w:rsidP="00884031">
      <w:pPr>
        <w:spacing w:after="0"/>
        <w:ind w:left="709" w:hanging="425"/>
        <w:jc w:val="both"/>
        <w:rPr>
          <w:lang w:val="en-GB"/>
        </w:rPr>
      </w:pPr>
      <w:r w:rsidRPr="000573E6">
        <w:rPr>
          <w:lang w:val="en-GB"/>
        </w:rPr>
        <w:t>7.</w:t>
      </w:r>
      <w:r w:rsidR="00992175">
        <w:rPr>
          <w:lang w:val="en-GB"/>
        </w:rPr>
        <w:tab/>
      </w:r>
      <w:r w:rsidRPr="000573E6">
        <w:rPr>
          <w:lang w:val="en-GB"/>
        </w:rPr>
        <w:t>Conditions of employment</w:t>
      </w:r>
    </w:p>
    <w:p w:rsidR="000E04A9" w:rsidRPr="000573E6" w:rsidRDefault="00992175" w:rsidP="00884031">
      <w:pPr>
        <w:spacing w:after="0"/>
        <w:ind w:left="709" w:hanging="425"/>
        <w:jc w:val="both"/>
        <w:rPr>
          <w:lang w:val="en-GB"/>
        </w:rPr>
      </w:pPr>
      <w:r>
        <w:rPr>
          <w:lang w:val="en-GB"/>
        </w:rPr>
        <w:t>8.</w:t>
      </w:r>
      <w:r>
        <w:rPr>
          <w:lang w:val="en-GB"/>
        </w:rPr>
        <w:tab/>
      </w:r>
      <w:r w:rsidR="000E04A9" w:rsidRPr="000573E6">
        <w:rPr>
          <w:lang w:val="en-GB"/>
        </w:rPr>
        <w:t>Wages</w:t>
      </w:r>
    </w:p>
    <w:p w:rsidR="000E04A9" w:rsidRPr="000573E6" w:rsidRDefault="000E04A9" w:rsidP="00884031">
      <w:pPr>
        <w:spacing w:after="0"/>
        <w:ind w:left="709" w:hanging="425"/>
        <w:jc w:val="both"/>
        <w:rPr>
          <w:lang w:val="en-GB"/>
        </w:rPr>
      </w:pPr>
      <w:r w:rsidRPr="000573E6">
        <w:rPr>
          <w:lang w:val="en-GB"/>
        </w:rPr>
        <w:t>9.</w:t>
      </w:r>
      <w:r w:rsidR="00992175">
        <w:rPr>
          <w:lang w:val="en-GB"/>
        </w:rPr>
        <w:tab/>
      </w:r>
      <w:r w:rsidRPr="000573E6">
        <w:rPr>
          <w:lang w:val="en-GB"/>
        </w:rPr>
        <w:t>Health and safety at work</w:t>
      </w:r>
    </w:p>
    <w:p w:rsidR="000E04A9" w:rsidRPr="000573E6" w:rsidRDefault="00992175" w:rsidP="00884031">
      <w:pPr>
        <w:spacing w:after="0"/>
        <w:ind w:left="709" w:hanging="425"/>
        <w:jc w:val="both"/>
        <w:rPr>
          <w:lang w:val="en-GB"/>
        </w:rPr>
      </w:pPr>
      <w:r>
        <w:rPr>
          <w:lang w:val="en-GB"/>
        </w:rPr>
        <w:lastRenderedPageBreak/>
        <w:t>10.</w:t>
      </w:r>
      <w:r>
        <w:rPr>
          <w:lang w:val="en-GB"/>
        </w:rPr>
        <w:tab/>
      </w:r>
      <w:r w:rsidR="000E04A9" w:rsidRPr="000573E6">
        <w:rPr>
          <w:lang w:val="en-GB"/>
        </w:rPr>
        <w:t>Social dialogue and involvement of workers</w:t>
      </w:r>
    </w:p>
    <w:p w:rsidR="000E04A9" w:rsidRPr="000573E6" w:rsidRDefault="000E04A9" w:rsidP="000573E6">
      <w:pPr>
        <w:spacing w:after="0"/>
        <w:jc w:val="both"/>
        <w:rPr>
          <w:lang w:val="en-GB"/>
        </w:rPr>
      </w:pPr>
    </w:p>
    <w:p w:rsidR="000E04A9" w:rsidRPr="000573E6" w:rsidRDefault="000E04A9" w:rsidP="000573E6">
      <w:pPr>
        <w:spacing w:after="0"/>
        <w:jc w:val="both"/>
        <w:rPr>
          <w:b/>
          <w:i/>
          <w:lang w:val="en-GB"/>
        </w:rPr>
      </w:pPr>
      <w:r w:rsidRPr="000573E6">
        <w:rPr>
          <w:b/>
          <w:i/>
          <w:lang w:val="en-GB"/>
        </w:rPr>
        <w:t>Chapt</w:t>
      </w:r>
      <w:r w:rsidR="00992175">
        <w:rPr>
          <w:b/>
          <w:i/>
          <w:lang w:val="en-GB"/>
        </w:rPr>
        <w:t>er</w:t>
      </w:r>
      <w:r w:rsidRPr="000573E6">
        <w:rPr>
          <w:b/>
          <w:i/>
          <w:lang w:val="en-GB"/>
        </w:rPr>
        <w:t>3 – Adequate and sustainable social protection</w:t>
      </w:r>
    </w:p>
    <w:p w:rsidR="000E04A9" w:rsidRPr="000573E6" w:rsidRDefault="000E04A9" w:rsidP="00884031">
      <w:pPr>
        <w:spacing w:after="0"/>
        <w:ind w:left="709" w:hanging="425"/>
        <w:jc w:val="both"/>
        <w:rPr>
          <w:lang w:val="en-GB"/>
        </w:rPr>
      </w:pPr>
      <w:r w:rsidRPr="000573E6">
        <w:rPr>
          <w:lang w:val="en-GB"/>
        </w:rPr>
        <w:t>11.</w:t>
      </w:r>
      <w:r w:rsidR="00992175">
        <w:rPr>
          <w:lang w:val="en-GB"/>
        </w:rPr>
        <w:tab/>
      </w:r>
      <w:r w:rsidRPr="000573E6">
        <w:rPr>
          <w:lang w:val="en-GB"/>
        </w:rPr>
        <w:t>Integrated social benefits and services</w:t>
      </w:r>
    </w:p>
    <w:p w:rsidR="000E04A9" w:rsidRPr="000573E6" w:rsidRDefault="000E04A9" w:rsidP="00884031">
      <w:pPr>
        <w:spacing w:after="0"/>
        <w:ind w:left="709" w:hanging="425"/>
        <w:jc w:val="both"/>
        <w:rPr>
          <w:lang w:val="en-GB"/>
        </w:rPr>
      </w:pPr>
      <w:r w:rsidRPr="000573E6">
        <w:rPr>
          <w:lang w:val="en-GB"/>
        </w:rPr>
        <w:t>12.</w:t>
      </w:r>
      <w:r w:rsidR="00992175">
        <w:rPr>
          <w:lang w:val="en-GB"/>
        </w:rPr>
        <w:tab/>
      </w:r>
      <w:r w:rsidRPr="000573E6">
        <w:rPr>
          <w:lang w:val="en-GB"/>
        </w:rPr>
        <w:t>Health care and sickness benefits</w:t>
      </w:r>
    </w:p>
    <w:p w:rsidR="000E04A9" w:rsidRPr="000573E6" w:rsidRDefault="000E04A9" w:rsidP="00884031">
      <w:pPr>
        <w:spacing w:after="0"/>
        <w:ind w:left="709" w:hanging="425"/>
        <w:jc w:val="both"/>
        <w:rPr>
          <w:lang w:val="en-GB"/>
        </w:rPr>
      </w:pPr>
      <w:r w:rsidRPr="000573E6">
        <w:rPr>
          <w:lang w:val="en-GB"/>
        </w:rPr>
        <w:t>13.</w:t>
      </w:r>
      <w:r w:rsidR="00992175">
        <w:rPr>
          <w:lang w:val="en-GB"/>
        </w:rPr>
        <w:tab/>
      </w:r>
      <w:r w:rsidRPr="000573E6">
        <w:rPr>
          <w:lang w:val="en-GB"/>
        </w:rPr>
        <w:t>Pensions</w:t>
      </w:r>
    </w:p>
    <w:p w:rsidR="000E04A9" w:rsidRPr="000573E6" w:rsidRDefault="000E04A9" w:rsidP="00884031">
      <w:pPr>
        <w:spacing w:after="0"/>
        <w:ind w:left="709" w:hanging="425"/>
        <w:jc w:val="both"/>
        <w:rPr>
          <w:lang w:val="en-GB"/>
        </w:rPr>
      </w:pPr>
      <w:r w:rsidRPr="000573E6">
        <w:rPr>
          <w:lang w:val="en-GB"/>
        </w:rPr>
        <w:t>14.</w:t>
      </w:r>
      <w:r w:rsidR="00992175">
        <w:rPr>
          <w:lang w:val="en-GB"/>
        </w:rPr>
        <w:tab/>
      </w:r>
      <w:r w:rsidRPr="000573E6">
        <w:rPr>
          <w:lang w:val="en-GB"/>
        </w:rPr>
        <w:t>Unemployment benefits</w:t>
      </w:r>
    </w:p>
    <w:p w:rsidR="000E04A9" w:rsidRPr="000573E6" w:rsidRDefault="00992175" w:rsidP="00884031">
      <w:pPr>
        <w:spacing w:after="0"/>
        <w:ind w:left="709" w:hanging="425"/>
        <w:jc w:val="both"/>
        <w:rPr>
          <w:lang w:val="en-GB"/>
        </w:rPr>
      </w:pPr>
      <w:r>
        <w:rPr>
          <w:lang w:val="en-GB"/>
        </w:rPr>
        <w:t>15.</w:t>
      </w:r>
      <w:r>
        <w:rPr>
          <w:lang w:val="en-GB"/>
        </w:rPr>
        <w:tab/>
      </w:r>
      <w:r w:rsidR="000E04A9" w:rsidRPr="000573E6">
        <w:rPr>
          <w:lang w:val="en-GB"/>
        </w:rPr>
        <w:t>Minimum income</w:t>
      </w:r>
    </w:p>
    <w:p w:rsidR="000E04A9" w:rsidRPr="000573E6" w:rsidRDefault="000E04A9" w:rsidP="00884031">
      <w:pPr>
        <w:spacing w:after="0"/>
        <w:ind w:left="709" w:hanging="425"/>
        <w:jc w:val="both"/>
        <w:rPr>
          <w:lang w:val="en-GB"/>
        </w:rPr>
      </w:pPr>
      <w:r w:rsidRPr="000573E6">
        <w:rPr>
          <w:lang w:val="en-GB"/>
        </w:rPr>
        <w:t>16.</w:t>
      </w:r>
      <w:r w:rsidR="00992175">
        <w:rPr>
          <w:lang w:val="en-GB"/>
        </w:rPr>
        <w:tab/>
      </w:r>
      <w:r w:rsidRPr="000573E6">
        <w:rPr>
          <w:lang w:val="en-GB"/>
        </w:rPr>
        <w:t>Disability benefits</w:t>
      </w:r>
    </w:p>
    <w:p w:rsidR="000E04A9" w:rsidRPr="000573E6" w:rsidRDefault="000E04A9" w:rsidP="00884031">
      <w:pPr>
        <w:spacing w:after="0"/>
        <w:ind w:left="709" w:hanging="425"/>
        <w:jc w:val="both"/>
        <w:rPr>
          <w:lang w:val="en-GB"/>
        </w:rPr>
      </w:pPr>
      <w:r w:rsidRPr="000573E6">
        <w:rPr>
          <w:lang w:val="en-GB"/>
        </w:rPr>
        <w:t>17.</w:t>
      </w:r>
      <w:r w:rsidR="00992175">
        <w:rPr>
          <w:lang w:val="en-GB"/>
        </w:rPr>
        <w:tab/>
      </w:r>
      <w:r w:rsidRPr="000573E6">
        <w:rPr>
          <w:lang w:val="en-GB"/>
        </w:rPr>
        <w:t>Long-term care</w:t>
      </w:r>
    </w:p>
    <w:p w:rsidR="000E04A9" w:rsidRPr="000573E6" w:rsidRDefault="000E04A9" w:rsidP="00884031">
      <w:pPr>
        <w:spacing w:after="0"/>
        <w:ind w:left="709" w:hanging="425"/>
        <w:jc w:val="both"/>
        <w:rPr>
          <w:lang w:val="en-GB"/>
        </w:rPr>
      </w:pPr>
      <w:r w:rsidRPr="000573E6">
        <w:rPr>
          <w:lang w:val="en-GB"/>
        </w:rPr>
        <w:t>18.</w:t>
      </w:r>
      <w:r w:rsidR="00992175">
        <w:rPr>
          <w:lang w:val="en-GB"/>
        </w:rPr>
        <w:tab/>
      </w:r>
      <w:r w:rsidRPr="000573E6">
        <w:rPr>
          <w:lang w:val="en-GB"/>
        </w:rPr>
        <w:t>Childcare</w:t>
      </w:r>
    </w:p>
    <w:p w:rsidR="000E04A9" w:rsidRPr="000573E6" w:rsidRDefault="00992175" w:rsidP="00884031">
      <w:pPr>
        <w:spacing w:after="0"/>
        <w:ind w:left="709" w:hanging="425"/>
        <w:jc w:val="both"/>
        <w:rPr>
          <w:lang w:val="en-GB"/>
        </w:rPr>
      </w:pPr>
      <w:r>
        <w:rPr>
          <w:lang w:val="en-GB"/>
        </w:rPr>
        <w:t>19.</w:t>
      </w:r>
      <w:r>
        <w:rPr>
          <w:lang w:val="en-GB"/>
        </w:rPr>
        <w:tab/>
      </w:r>
      <w:r w:rsidR="000E04A9" w:rsidRPr="000573E6">
        <w:rPr>
          <w:lang w:val="en-GB"/>
        </w:rPr>
        <w:t>Housing</w:t>
      </w:r>
    </w:p>
    <w:p w:rsidR="000E04A9" w:rsidRPr="000573E6" w:rsidRDefault="000E04A9" w:rsidP="00884031">
      <w:pPr>
        <w:spacing w:after="0"/>
        <w:ind w:left="709" w:hanging="425"/>
        <w:jc w:val="both"/>
        <w:rPr>
          <w:lang w:val="en-GB"/>
        </w:rPr>
      </w:pPr>
      <w:r w:rsidRPr="000573E6">
        <w:rPr>
          <w:lang w:val="en-GB"/>
        </w:rPr>
        <w:t>20.</w:t>
      </w:r>
      <w:r w:rsidR="00992175">
        <w:rPr>
          <w:lang w:val="en-GB"/>
        </w:rPr>
        <w:tab/>
      </w:r>
      <w:r w:rsidRPr="000573E6">
        <w:rPr>
          <w:lang w:val="en-GB"/>
        </w:rPr>
        <w:t>Access to essential services</w:t>
      </w:r>
    </w:p>
    <w:p w:rsidR="000E04A9" w:rsidRPr="000573E6" w:rsidRDefault="000E04A9" w:rsidP="000573E6">
      <w:pPr>
        <w:spacing w:after="0"/>
        <w:jc w:val="both"/>
        <w:rPr>
          <w:lang w:val="en-GB"/>
        </w:rPr>
      </w:pPr>
    </w:p>
    <w:p w:rsidR="000E04A9" w:rsidRPr="000573E6" w:rsidRDefault="000E04A9" w:rsidP="000573E6">
      <w:pPr>
        <w:spacing w:after="0"/>
        <w:jc w:val="both"/>
        <w:rPr>
          <w:lang w:val="en-GB"/>
        </w:rPr>
      </w:pPr>
      <w:r w:rsidRPr="000573E6">
        <w:rPr>
          <w:lang w:val="en-GB"/>
        </w:rPr>
        <w:t>The principles shall “cover EU citizens and legally residing third country nationals”</w:t>
      </w:r>
      <w:r w:rsidRPr="000573E6">
        <w:rPr>
          <w:rStyle w:val="FootnoteReference"/>
          <w:lang w:val="en-GB"/>
        </w:rPr>
        <w:footnoteReference w:id="12"/>
      </w:r>
      <w:r w:rsidRPr="000573E6">
        <w:rPr>
          <w:lang w:val="en-GB"/>
        </w:rPr>
        <w:t>.</w:t>
      </w:r>
    </w:p>
    <w:p w:rsidR="000E04A9" w:rsidRPr="000573E6" w:rsidRDefault="000E04A9" w:rsidP="000573E6">
      <w:pPr>
        <w:spacing w:after="0"/>
        <w:jc w:val="both"/>
        <w:rPr>
          <w:lang w:val="en-GB"/>
        </w:rPr>
      </w:pPr>
    </w:p>
    <w:p w:rsidR="00784B8B" w:rsidRPr="00992175" w:rsidRDefault="00C20C3E" w:rsidP="00992175">
      <w:pPr>
        <w:pStyle w:val="ListParagraph"/>
        <w:numPr>
          <w:ilvl w:val="0"/>
          <w:numId w:val="6"/>
        </w:numPr>
        <w:spacing w:after="0"/>
        <w:ind w:left="426" w:hanging="426"/>
        <w:jc w:val="both"/>
        <w:rPr>
          <w:lang w:val="en-GB"/>
        </w:rPr>
      </w:pPr>
      <w:r w:rsidRPr="00992175">
        <w:rPr>
          <w:lang w:val="en-GB"/>
        </w:rPr>
        <w:t xml:space="preserve">Regarding the </w:t>
      </w:r>
      <w:r w:rsidRPr="00992175">
        <w:rPr>
          <w:b/>
          <w:i/>
          <w:lang w:val="en-GB"/>
        </w:rPr>
        <w:t>implementation</w:t>
      </w:r>
      <w:r w:rsidRPr="00992175">
        <w:rPr>
          <w:lang w:val="en-GB"/>
        </w:rPr>
        <w:t xml:space="preserve"> the principles </w:t>
      </w:r>
      <w:r w:rsidR="006E7AC7" w:rsidRPr="00992175">
        <w:rPr>
          <w:lang w:val="en-GB"/>
        </w:rPr>
        <w:t>have a</w:t>
      </w:r>
      <w:r w:rsidR="006A259B" w:rsidRPr="00992175">
        <w:rPr>
          <w:lang w:val="en-GB"/>
        </w:rPr>
        <w:t xml:space="preserve"> different </w:t>
      </w:r>
      <w:r w:rsidR="0032002E" w:rsidRPr="00992175">
        <w:rPr>
          <w:lang w:val="en-GB"/>
        </w:rPr>
        <w:t xml:space="preserve">character: Some </w:t>
      </w:r>
      <w:r w:rsidRPr="00992175">
        <w:rPr>
          <w:lang w:val="en-GB"/>
        </w:rPr>
        <w:t>refer to EU competences, so that a legislative act can be taken, others are beyond this competence but political guidance –</w:t>
      </w:r>
      <w:r w:rsidR="00763497">
        <w:rPr>
          <w:lang w:val="en-GB"/>
        </w:rPr>
        <w:t>e.g</w:t>
      </w:r>
      <w:r w:rsidR="00E41EEF">
        <w:rPr>
          <w:lang w:val="en-GB"/>
        </w:rPr>
        <w:t>.</w:t>
      </w:r>
      <w:r w:rsidRPr="00992175">
        <w:rPr>
          <w:lang w:val="en-GB"/>
        </w:rPr>
        <w:t xml:space="preserve"> through the European Semester – can be sought.</w:t>
      </w:r>
      <w:r w:rsidR="00E34B45" w:rsidRPr="00992175">
        <w:rPr>
          <w:lang w:val="en-GB"/>
        </w:rPr>
        <w:t xml:space="preserve"> The latter might result in recommendations, proposed by the European Commission, adopted by the Council.</w:t>
      </w:r>
    </w:p>
    <w:p w:rsidR="0095284E" w:rsidRPr="000573E6" w:rsidRDefault="0095284E" w:rsidP="000573E6">
      <w:pPr>
        <w:spacing w:after="0"/>
        <w:jc w:val="both"/>
        <w:rPr>
          <w:lang w:val="en-GB"/>
        </w:rPr>
      </w:pPr>
    </w:p>
    <w:p w:rsidR="0095284E" w:rsidRPr="00992175" w:rsidRDefault="0095284E" w:rsidP="00992175">
      <w:pPr>
        <w:pStyle w:val="ListParagraph"/>
        <w:numPr>
          <w:ilvl w:val="0"/>
          <w:numId w:val="6"/>
        </w:numPr>
        <w:spacing w:after="0"/>
        <w:ind w:left="426" w:hanging="426"/>
        <w:jc w:val="both"/>
        <w:rPr>
          <w:lang w:val="en-GB"/>
        </w:rPr>
      </w:pPr>
      <w:r w:rsidRPr="00992175">
        <w:rPr>
          <w:lang w:val="en-GB"/>
        </w:rPr>
        <w:t>The public consultation will conclude on 31 December</w:t>
      </w:r>
      <w:r w:rsidR="00763497">
        <w:rPr>
          <w:lang w:val="en-GB"/>
        </w:rPr>
        <w:t xml:space="preserve"> 2016</w:t>
      </w:r>
      <w:r w:rsidRPr="00992175">
        <w:rPr>
          <w:lang w:val="en-GB"/>
        </w:rPr>
        <w:t xml:space="preserve">. The </w:t>
      </w:r>
      <w:r w:rsidRPr="00992175">
        <w:rPr>
          <w:b/>
          <w:i/>
          <w:lang w:val="en-GB"/>
        </w:rPr>
        <w:t>objectives of the consultation</w:t>
      </w:r>
      <w:r w:rsidRPr="00992175">
        <w:rPr>
          <w:lang w:val="en-GB"/>
        </w:rPr>
        <w:t xml:space="preserve"> are</w:t>
      </w:r>
    </w:p>
    <w:p w:rsidR="0095284E" w:rsidRPr="000573E6" w:rsidRDefault="0095284E" w:rsidP="009A15C9">
      <w:pPr>
        <w:pStyle w:val="ListParagraph"/>
        <w:numPr>
          <w:ilvl w:val="0"/>
          <w:numId w:val="4"/>
        </w:numPr>
        <w:spacing w:after="0"/>
        <w:ind w:hanging="294"/>
        <w:jc w:val="both"/>
        <w:rPr>
          <w:lang w:val="en-GB"/>
        </w:rPr>
      </w:pPr>
      <w:r w:rsidRPr="000573E6">
        <w:rPr>
          <w:lang w:val="en-GB"/>
        </w:rPr>
        <w:t>the assessment of the acquis,</w:t>
      </w:r>
    </w:p>
    <w:p w:rsidR="0095284E" w:rsidRPr="000573E6" w:rsidRDefault="0095284E" w:rsidP="009A15C9">
      <w:pPr>
        <w:pStyle w:val="ListParagraph"/>
        <w:numPr>
          <w:ilvl w:val="0"/>
          <w:numId w:val="4"/>
        </w:numPr>
        <w:spacing w:after="0"/>
        <w:ind w:hanging="294"/>
        <w:jc w:val="both"/>
        <w:rPr>
          <w:lang w:val="en-GB"/>
        </w:rPr>
      </w:pPr>
      <w:r w:rsidRPr="000573E6">
        <w:rPr>
          <w:lang w:val="en-GB"/>
        </w:rPr>
        <w:t>the analysis of the new trends, and</w:t>
      </w:r>
    </w:p>
    <w:p w:rsidR="0095284E" w:rsidRPr="000573E6" w:rsidRDefault="0095284E" w:rsidP="009A15C9">
      <w:pPr>
        <w:pStyle w:val="ListParagraph"/>
        <w:numPr>
          <w:ilvl w:val="0"/>
          <w:numId w:val="4"/>
        </w:numPr>
        <w:spacing w:after="0"/>
        <w:ind w:hanging="294"/>
        <w:jc w:val="both"/>
        <w:rPr>
          <w:lang w:val="en-GB"/>
        </w:rPr>
      </w:pPr>
      <w:r w:rsidRPr="000573E6">
        <w:rPr>
          <w:lang w:val="en-GB"/>
        </w:rPr>
        <w:t>the outline of the pillar.</w:t>
      </w:r>
      <w:r w:rsidRPr="000573E6">
        <w:rPr>
          <w:rStyle w:val="FootnoteReference"/>
          <w:lang w:val="en-GB"/>
        </w:rPr>
        <w:footnoteReference w:id="13"/>
      </w:r>
    </w:p>
    <w:p w:rsidR="0095284E" w:rsidRPr="000573E6" w:rsidRDefault="0095284E" w:rsidP="000573E6">
      <w:pPr>
        <w:spacing w:after="0"/>
        <w:jc w:val="both"/>
        <w:rPr>
          <w:lang w:val="en-GB"/>
        </w:rPr>
      </w:pPr>
    </w:p>
    <w:p w:rsidR="0095284E" w:rsidRPr="000573E6" w:rsidRDefault="0095284E" w:rsidP="00992175">
      <w:pPr>
        <w:spacing w:after="0"/>
        <w:ind w:left="426" w:hanging="66"/>
        <w:jc w:val="both"/>
        <w:rPr>
          <w:lang w:val="en-GB"/>
        </w:rPr>
      </w:pPr>
      <w:r w:rsidRPr="000573E6">
        <w:rPr>
          <w:lang w:val="en-GB"/>
        </w:rPr>
        <w:t>The Commission will have specific meetings with the social partners.</w:t>
      </w:r>
    </w:p>
    <w:p w:rsidR="0095284E" w:rsidRPr="000573E6" w:rsidRDefault="0095284E" w:rsidP="00992175">
      <w:pPr>
        <w:spacing w:after="0"/>
        <w:ind w:left="426" w:hanging="426"/>
        <w:jc w:val="both"/>
        <w:rPr>
          <w:lang w:val="en-GB"/>
        </w:rPr>
      </w:pPr>
    </w:p>
    <w:p w:rsidR="0095284E" w:rsidRPr="000573E6" w:rsidRDefault="0095284E" w:rsidP="00992175">
      <w:pPr>
        <w:spacing w:after="0"/>
        <w:ind w:left="426" w:hanging="66"/>
        <w:jc w:val="both"/>
        <w:rPr>
          <w:lang w:val="en-GB"/>
        </w:rPr>
      </w:pPr>
      <w:r w:rsidRPr="000573E6">
        <w:rPr>
          <w:lang w:val="en-GB"/>
        </w:rPr>
        <w:t xml:space="preserve">The Representations of the European Commission </w:t>
      </w:r>
      <w:r w:rsidR="00763497">
        <w:rPr>
          <w:lang w:val="en-GB"/>
        </w:rPr>
        <w:t xml:space="preserve">will </w:t>
      </w:r>
      <w:r w:rsidRPr="000573E6">
        <w:rPr>
          <w:lang w:val="en-GB"/>
        </w:rPr>
        <w:t>organise conferences in the EU Member States about the proposal of the pillar.</w:t>
      </w:r>
      <w:r w:rsidRPr="000573E6">
        <w:rPr>
          <w:rStyle w:val="FootnoteReference"/>
          <w:lang w:val="en-GB"/>
        </w:rPr>
        <w:footnoteReference w:id="14"/>
      </w:r>
    </w:p>
    <w:p w:rsidR="00B3403B" w:rsidRPr="000573E6" w:rsidRDefault="00B3403B" w:rsidP="00992175">
      <w:pPr>
        <w:spacing w:after="0"/>
        <w:ind w:left="426" w:hanging="426"/>
        <w:jc w:val="both"/>
        <w:rPr>
          <w:lang w:val="en-GB"/>
        </w:rPr>
      </w:pPr>
    </w:p>
    <w:p w:rsidR="00B3403B" w:rsidRPr="000573E6" w:rsidRDefault="00B3403B" w:rsidP="00992175">
      <w:pPr>
        <w:spacing w:after="0"/>
        <w:ind w:left="426" w:hanging="66"/>
        <w:jc w:val="both"/>
        <w:rPr>
          <w:lang w:val="en-GB"/>
        </w:rPr>
      </w:pPr>
      <w:r w:rsidRPr="000573E6">
        <w:rPr>
          <w:lang w:val="en-GB"/>
        </w:rPr>
        <w:t xml:space="preserve">In November this year the Commission will </w:t>
      </w:r>
      <w:r w:rsidR="00763497">
        <w:rPr>
          <w:lang w:val="en-GB"/>
        </w:rPr>
        <w:t>hold</w:t>
      </w:r>
      <w:r w:rsidR="00763497" w:rsidRPr="000573E6">
        <w:rPr>
          <w:lang w:val="en-GB"/>
        </w:rPr>
        <w:t xml:space="preserve"> </w:t>
      </w:r>
      <w:r w:rsidRPr="000573E6">
        <w:rPr>
          <w:lang w:val="en-GB"/>
        </w:rPr>
        <w:t>a E</w:t>
      </w:r>
      <w:r w:rsidR="0032002E" w:rsidRPr="000573E6">
        <w:rPr>
          <w:lang w:val="en-GB"/>
        </w:rPr>
        <w:t>uropean conference on the issue in Brussels.</w:t>
      </w:r>
    </w:p>
    <w:p w:rsidR="0032002E" w:rsidRPr="000573E6" w:rsidRDefault="0032002E" w:rsidP="000573E6">
      <w:pPr>
        <w:spacing w:after="0"/>
        <w:jc w:val="both"/>
        <w:rPr>
          <w:lang w:val="en-GB"/>
        </w:rPr>
      </w:pPr>
    </w:p>
    <w:p w:rsidR="006E7AC7" w:rsidRPr="00992175" w:rsidRDefault="006E7AC7" w:rsidP="00992175">
      <w:pPr>
        <w:pStyle w:val="ListParagraph"/>
        <w:numPr>
          <w:ilvl w:val="0"/>
          <w:numId w:val="6"/>
        </w:numPr>
        <w:spacing w:after="0"/>
        <w:ind w:left="426" w:hanging="426"/>
        <w:jc w:val="both"/>
        <w:rPr>
          <w:lang w:val="en-GB"/>
        </w:rPr>
      </w:pPr>
      <w:r w:rsidRPr="00992175">
        <w:rPr>
          <w:lang w:val="en-GB"/>
        </w:rPr>
        <w:t xml:space="preserve">The </w:t>
      </w:r>
      <w:r w:rsidRPr="00992175">
        <w:rPr>
          <w:b/>
          <w:i/>
          <w:lang w:val="en-GB"/>
        </w:rPr>
        <w:t>Questionnaire</w:t>
      </w:r>
      <w:r w:rsidRPr="000573E6">
        <w:rPr>
          <w:rStyle w:val="FootnoteReference"/>
          <w:lang w:val="en-GB"/>
        </w:rPr>
        <w:footnoteReference w:id="15"/>
      </w:r>
      <w:r w:rsidRPr="00992175">
        <w:rPr>
          <w:lang w:val="en-GB"/>
        </w:rPr>
        <w:t xml:space="preserve"> can be and should be answered by the CEC TRG ESI. </w:t>
      </w:r>
    </w:p>
    <w:p w:rsidR="006E7AC7" w:rsidRDefault="006E7AC7" w:rsidP="00992175">
      <w:pPr>
        <w:spacing w:after="0"/>
        <w:ind w:left="426"/>
        <w:jc w:val="both"/>
        <w:rPr>
          <w:lang w:val="en-GB"/>
        </w:rPr>
      </w:pPr>
      <w:r w:rsidRPr="000573E6">
        <w:rPr>
          <w:lang w:val="en-GB"/>
        </w:rPr>
        <w:t>Of course, there are more possibilities to react.</w:t>
      </w:r>
      <w:r w:rsidR="00110A84" w:rsidRPr="000573E6">
        <w:rPr>
          <w:rStyle w:val="FootnoteReference"/>
          <w:lang w:val="en-GB"/>
        </w:rPr>
        <w:footnoteReference w:id="16"/>
      </w:r>
      <w:r w:rsidR="00110A84" w:rsidRPr="000573E6">
        <w:rPr>
          <w:lang w:val="en-GB"/>
        </w:rPr>
        <w:t xml:space="preserve"> CEC is already involved in some meetings and conferences the Commission organises as civil dialogue about the pillar in Brussels.</w:t>
      </w:r>
    </w:p>
    <w:p w:rsidR="00992175" w:rsidRPr="000573E6" w:rsidRDefault="00992175" w:rsidP="00992175">
      <w:pPr>
        <w:spacing w:after="0"/>
        <w:ind w:left="426"/>
        <w:jc w:val="both"/>
        <w:rPr>
          <w:lang w:val="en-GB"/>
        </w:rPr>
      </w:pPr>
    </w:p>
    <w:p w:rsidR="006E7AC7" w:rsidRDefault="006E7AC7" w:rsidP="00992175">
      <w:pPr>
        <w:spacing w:after="0"/>
        <w:ind w:left="426"/>
        <w:jc w:val="both"/>
        <w:rPr>
          <w:lang w:val="en-GB"/>
        </w:rPr>
      </w:pPr>
      <w:r w:rsidRPr="000573E6">
        <w:rPr>
          <w:lang w:val="en-GB"/>
        </w:rPr>
        <w:t xml:space="preserve">Although in these very difficult times of the European Union </w:t>
      </w:r>
      <w:r w:rsidR="00763497" w:rsidRPr="000573E6">
        <w:rPr>
          <w:lang w:val="en-GB"/>
        </w:rPr>
        <w:t xml:space="preserve">it is </w:t>
      </w:r>
      <w:r w:rsidRPr="000573E6">
        <w:rPr>
          <w:lang w:val="en-GB"/>
        </w:rPr>
        <w:t>not easy to estimate in which direction European policy discussions will develop</w:t>
      </w:r>
      <w:r w:rsidR="00110A84" w:rsidRPr="000573E6">
        <w:rPr>
          <w:lang w:val="en-GB"/>
        </w:rPr>
        <w:t xml:space="preserve"> in the coming months</w:t>
      </w:r>
      <w:r w:rsidRPr="000573E6">
        <w:rPr>
          <w:lang w:val="en-GB"/>
        </w:rPr>
        <w:t xml:space="preserve">. The 20 principles are almost not proposing new EU competences, </w:t>
      </w:r>
      <w:r w:rsidR="00680444">
        <w:rPr>
          <w:lang w:val="en-GB"/>
        </w:rPr>
        <w:t>that</w:t>
      </w:r>
      <w:r w:rsidR="00680444" w:rsidRPr="000573E6">
        <w:rPr>
          <w:lang w:val="en-GB"/>
        </w:rPr>
        <w:t xml:space="preserve"> </w:t>
      </w:r>
      <w:r w:rsidRPr="000573E6">
        <w:rPr>
          <w:lang w:val="en-GB"/>
        </w:rPr>
        <w:lastRenderedPageBreak/>
        <w:t>might also be criticised</w:t>
      </w:r>
      <w:r w:rsidR="00AD4B4D" w:rsidRPr="000573E6">
        <w:rPr>
          <w:lang w:val="en-GB"/>
        </w:rPr>
        <w:t>, but which makes it easier for discussions with the Member States governments</w:t>
      </w:r>
      <w:r w:rsidRPr="000573E6">
        <w:rPr>
          <w:lang w:val="en-GB"/>
        </w:rPr>
        <w:t xml:space="preserve">. </w:t>
      </w:r>
      <w:r w:rsidR="00680444">
        <w:rPr>
          <w:lang w:val="en-GB"/>
        </w:rPr>
        <w:t>In</w:t>
      </w:r>
      <w:r w:rsidR="00680444" w:rsidRPr="000573E6">
        <w:rPr>
          <w:lang w:val="en-GB"/>
        </w:rPr>
        <w:t xml:space="preserve"> </w:t>
      </w:r>
      <w:r w:rsidR="00110A84" w:rsidRPr="000573E6">
        <w:rPr>
          <w:lang w:val="en-GB"/>
        </w:rPr>
        <w:t xml:space="preserve">the end </w:t>
      </w:r>
      <w:r w:rsidR="00AD4B4D" w:rsidRPr="000573E6">
        <w:rPr>
          <w:lang w:val="en-GB"/>
        </w:rPr>
        <w:t xml:space="preserve">most significant </w:t>
      </w:r>
      <w:r w:rsidR="000139E6" w:rsidRPr="000573E6">
        <w:rPr>
          <w:lang w:val="en-GB"/>
        </w:rPr>
        <w:t xml:space="preserve">is </w:t>
      </w:r>
      <w:r w:rsidR="00110A84" w:rsidRPr="000573E6">
        <w:rPr>
          <w:lang w:val="en-GB"/>
        </w:rPr>
        <w:t>the question about the concrete substance of the principles and the implementation.</w:t>
      </w:r>
    </w:p>
    <w:p w:rsidR="000573E6" w:rsidRPr="000573E6" w:rsidRDefault="000573E6" w:rsidP="00992175">
      <w:pPr>
        <w:spacing w:after="0"/>
        <w:ind w:left="426"/>
        <w:jc w:val="both"/>
        <w:rPr>
          <w:lang w:val="en-GB"/>
        </w:rPr>
      </w:pPr>
    </w:p>
    <w:p w:rsidR="00110A84" w:rsidRDefault="00110A84" w:rsidP="00992175">
      <w:pPr>
        <w:spacing w:after="0"/>
        <w:ind w:left="426"/>
        <w:jc w:val="both"/>
        <w:rPr>
          <w:lang w:val="en-GB"/>
        </w:rPr>
      </w:pPr>
      <w:r w:rsidRPr="000573E6">
        <w:rPr>
          <w:lang w:val="en-GB"/>
        </w:rPr>
        <w:t xml:space="preserve">It is striking that the Communication never refers to the </w:t>
      </w:r>
      <w:r w:rsidRPr="000573E6">
        <w:rPr>
          <w:b/>
          <w:i/>
          <w:lang w:val="en-GB"/>
        </w:rPr>
        <w:t>Europe 2020 strategy</w:t>
      </w:r>
      <w:r w:rsidRPr="000573E6">
        <w:rPr>
          <w:lang w:val="en-GB"/>
        </w:rPr>
        <w:t xml:space="preserve"> and its aim for a smart, sustainable and inclusive growth, including targets on employment, education and the fight against poverty and social exclusion. </w:t>
      </w:r>
    </w:p>
    <w:p w:rsidR="00680444" w:rsidRPr="000573E6" w:rsidRDefault="00680444" w:rsidP="00992175">
      <w:pPr>
        <w:spacing w:after="0"/>
        <w:ind w:left="426"/>
        <w:jc w:val="both"/>
        <w:rPr>
          <w:lang w:val="en-GB"/>
        </w:rPr>
      </w:pPr>
    </w:p>
    <w:p w:rsidR="00110A84" w:rsidRPr="000573E6" w:rsidRDefault="00110A84" w:rsidP="00992175">
      <w:pPr>
        <w:spacing w:after="0"/>
        <w:ind w:left="426"/>
        <w:jc w:val="both"/>
        <w:rPr>
          <w:lang w:val="en-GB"/>
        </w:rPr>
      </w:pPr>
      <w:r w:rsidRPr="000573E6">
        <w:rPr>
          <w:lang w:val="en-GB"/>
        </w:rPr>
        <w:t xml:space="preserve">On the other hand we know that the Commission has started to work on a concept for the EU policy on the agreed </w:t>
      </w:r>
      <w:r w:rsidRPr="000573E6">
        <w:rPr>
          <w:b/>
          <w:i/>
          <w:lang w:val="en-GB"/>
        </w:rPr>
        <w:t>UN Sustainable Development Goals</w:t>
      </w:r>
      <w:r w:rsidRPr="000573E6">
        <w:rPr>
          <w:lang w:val="en-GB"/>
        </w:rPr>
        <w:t xml:space="preserve"> (SDGs), which cover also some of the rights of the pillar, but which is </w:t>
      </w:r>
      <w:r w:rsidR="00FD1733" w:rsidRPr="000573E6">
        <w:rPr>
          <w:lang w:val="en-GB"/>
        </w:rPr>
        <w:t xml:space="preserve">also </w:t>
      </w:r>
      <w:r w:rsidRPr="000573E6">
        <w:rPr>
          <w:lang w:val="en-GB"/>
        </w:rPr>
        <w:t>not reflected in the Communication.</w:t>
      </w:r>
    </w:p>
    <w:p w:rsidR="00AD4B4D" w:rsidRPr="000573E6" w:rsidRDefault="00AD4B4D" w:rsidP="000573E6">
      <w:pPr>
        <w:spacing w:after="0"/>
        <w:jc w:val="both"/>
        <w:rPr>
          <w:lang w:val="en-GB"/>
        </w:rPr>
      </w:pPr>
    </w:p>
    <w:p w:rsidR="00AD4B4D" w:rsidRPr="00992175" w:rsidRDefault="00AD4B4D" w:rsidP="00992175">
      <w:pPr>
        <w:pStyle w:val="ListParagraph"/>
        <w:numPr>
          <w:ilvl w:val="0"/>
          <w:numId w:val="6"/>
        </w:numPr>
        <w:spacing w:after="0"/>
        <w:ind w:left="426" w:hanging="426"/>
        <w:jc w:val="both"/>
        <w:rPr>
          <w:lang w:val="en-GB"/>
        </w:rPr>
      </w:pPr>
      <w:r w:rsidRPr="00992175">
        <w:rPr>
          <w:lang w:val="en-GB"/>
        </w:rPr>
        <w:t xml:space="preserve">Many </w:t>
      </w:r>
      <w:r w:rsidR="00FD1733" w:rsidRPr="00992175">
        <w:rPr>
          <w:b/>
          <w:i/>
          <w:lang w:val="en-GB"/>
        </w:rPr>
        <w:t xml:space="preserve">critical </w:t>
      </w:r>
      <w:r w:rsidRPr="00992175">
        <w:rPr>
          <w:b/>
          <w:i/>
          <w:lang w:val="en-GB"/>
        </w:rPr>
        <w:t>questions</w:t>
      </w:r>
      <w:r w:rsidRPr="00992175">
        <w:rPr>
          <w:lang w:val="en-GB"/>
        </w:rPr>
        <w:t xml:space="preserve"> </w:t>
      </w:r>
      <w:r w:rsidR="00FD1733" w:rsidRPr="00992175">
        <w:rPr>
          <w:lang w:val="en-GB"/>
        </w:rPr>
        <w:t>can be raised, on different levels, for example:</w:t>
      </w:r>
    </w:p>
    <w:p w:rsidR="00FD1733" w:rsidRPr="000573E6" w:rsidRDefault="00FD1733" w:rsidP="009A15C9">
      <w:pPr>
        <w:pStyle w:val="ListParagraph"/>
        <w:numPr>
          <w:ilvl w:val="0"/>
          <w:numId w:val="5"/>
        </w:numPr>
        <w:spacing w:after="0"/>
        <w:ind w:left="993" w:hanging="284"/>
        <w:jc w:val="both"/>
        <w:rPr>
          <w:lang w:val="en-GB"/>
        </w:rPr>
      </w:pPr>
      <w:r w:rsidRPr="000573E6">
        <w:rPr>
          <w:lang w:val="en-GB"/>
        </w:rPr>
        <w:t>Does the differentiation between euro zone states and other EU Member States make sense, knowing that labour rights relate to the Single Market of all 28 EU Member States? Does the EU lose the objective of social cohesion?</w:t>
      </w:r>
    </w:p>
    <w:p w:rsidR="00FD1733" w:rsidRPr="000573E6" w:rsidRDefault="00FD1733" w:rsidP="009A15C9">
      <w:pPr>
        <w:spacing w:after="0"/>
        <w:ind w:left="993" w:hanging="284"/>
        <w:jc w:val="both"/>
        <w:rPr>
          <w:lang w:val="en-GB"/>
        </w:rPr>
      </w:pPr>
    </w:p>
    <w:p w:rsidR="00FD1733" w:rsidRPr="000573E6" w:rsidRDefault="00FD1733" w:rsidP="009A15C9">
      <w:pPr>
        <w:pStyle w:val="ListParagraph"/>
        <w:numPr>
          <w:ilvl w:val="0"/>
          <w:numId w:val="5"/>
        </w:numPr>
        <w:spacing w:after="0"/>
        <w:ind w:left="993" w:hanging="284"/>
        <w:jc w:val="both"/>
        <w:rPr>
          <w:lang w:val="en-GB"/>
        </w:rPr>
      </w:pPr>
      <w:r w:rsidRPr="000573E6">
        <w:rPr>
          <w:lang w:val="en-GB"/>
        </w:rPr>
        <w:t xml:space="preserve">How can a social upward convergence be achieved by the proposed pillar? Minimum standards </w:t>
      </w:r>
      <w:r w:rsidR="003A72EA" w:rsidRPr="000573E6">
        <w:rPr>
          <w:lang w:val="en-GB"/>
        </w:rPr>
        <w:t xml:space="preserve">on a European level </w:t>
      </w:r>
      <w:r w:rsidRPr="000573E6">
        <w:rPr>
          <w:lang w:val="en-GB"/>
        </w:rPr>
        <w:t xml:space="preserve">imply the risk of a dynamic of downgrading.  </w:t>
      </w:r>
    </w:p>
    <w:p w:rsidR="00FD1733" w:rsidRPr="000573E6" w:rsidRDefault="00FD1733" w:rsidP="009A15C9">
      <w:pPr>
        <w:pStyle w:val="ListParagraph"/>
        <w:ind w:left="993" w:hanging="284"/>
        <w:jc w:val="both"/>
        <w:rPr>
          <w:lang w:val="en-GB"/>
        </w:rPr>
      </w:pPr>
    </w:p>
    <w:p w:rsidR="00FD1733" w:rsidRPr="000573E6" w:rsidRDefault="00FD1733" w:rsidP="009A15C9">
      <w:pPr>
        <w:pStyle w:val="ListParagraph"/>
        <w:numPr>
          <w:ilvl w:val="0"/>
          <w:numId w:val="5"/>
        </w:numPr>
        <w:spacing w:after="0"/>
        <w:ind w:left="993" w:hanging="284"/>
        <w:jc w:val="both"/>
        <w:rPr>
          <w:lang w:val="en-GB"/>
        </w:rPr>
      </w:pPr>
      <w:r w:rsidRPr="000573E6">
        <w:rPr>
          <w:lang w:val="en-GB"/>
        </w:rPr>
        <w:t xml:space="preserve">Does the aim of a social upward convergence not need social investment and financial incentives, which would define social policy not only as a cost but as a productive factor of economy? </w:t>
      </w:r>
      <w:r w:rsidR="00D2075F" w:rsidRPr="000573E6">
        <w:rPr>
          <w:lang w:val="en-GB"/>
        </w:rPr>
        <w:t>But how this can be brought into balance with a Stability and Growth Pact which focusses mainly on budgetary consolidation?</w:t>
      </w:r>
    </w:p>
    <w:p w:rsidR="00D2075F" w:rsidRPr="000573E6" w:rsidRDefault="00D2075F" w:rsidP="009A15C9">
      <w:pPr>
        <w:pStyle w:val="ListParagraph"/>
        <w:ind w:left="993" w:hanging="284"/>
        <w:jc w:val="both"/>
        <w:rPr>
          <w:lang w:val="en-GB"/>
        </w:rPr>
      </w:pPr>
    </w:p>
    <w:p w:rsidR="00D2075F" w:rsidRPr="000573E6" w:rsidRDefault="00D2075F" w:rsidP="009A15C9">
      <w:pPr>
        <w:pStyle w:val="ListParagraph"/>
        <w:numPr>
          <w:ilvl w:val="0"/>
          <w:numId w:val="5"/>
        </w:numPr>
        <w:spacing w:after="0"/>
        <w:ind w:left="993" w:hanging="284"/>
        <w:jc w:val="both"/>
        <w:rPr>
          <w:lang w:val="en-GB"/>
        </w:rPr>
      </w:pPr>
      <w:r w:rsidRPr="000573E6">
        <w:rPr>
          <w:lang w:val="en-GB"/>
        </w:rPr>
        <w:t>What is the relation between principles and rights in the Commission documents?</w:t>
      </w:r>
    </w:p>
    <w:p w:rsidR="00D2075F" w:rsidRPr="000573E6" w:rsidRDefault="00D2075F" w:rsidP="009A15C9">
      <w:pPr>
        <w:pStyle w:val="ListParagraph"/>
        <w:ind w:left="993" w:hanging="284"/>
        <w:jc w:val="both"/>
        <w:rPr>
          <w:lang w:val="en-GB"/>
        </w:rPr>
      </w:pPr>
    </w:p>
    <w:p w:rsidR="00D2075F" w:rsidRPr="000573E6" w:rsidRDefault="00D2075F" w:rsidP="009A15C9">
      <w:pPr>
        <w:pStyle w:val="ListParagraph"/>
        <w:numPr>
          <w:ilvl w:val="0"/>
          <w:numId w:val="5"/>
        </w:numPr>
        <w:spacing w:after="0"/>
        <w:ind w:left="993" w:hanging="284"/>
        <w:jc w:val="both"/>
        <w:rPr>
          <w:lang w:val="en-GB"/>
        </w:rPr>
      </w:pPr>
      <w:r w:rsidRPr="000573E6">
        <w:rPr>
          <w:lang w:val="en-GB"/>
        </w:rPr>
        <w:t xml:space="preserve">Why does the Commission never refer to social rights, established by other European and international organisations, </w:t>
      </w:r>
      <w:r w:rsidR="00680444">
        <w:rPr>
          <w:lang w:val="en-GB"/>
        </w:rPr>
        <w:t>such as</w:t>
      </w:r>
      <w:r w:rsidR="00680444" w:rsidRPr="000573E6">
        <w:rPr>
          <w:lang w:val="en-GB"/>
        </w:rPr>
        <w:t xml:space="preserve"> </w:t>
      </w:r>
      <w:r w:rsidRPr="000573E6">
        <w:rPr>
          <w:lang w:val="en-GB"/>
        </w:rPr>
        <w:t>the Social Charter of the Council of Europe or the ILO?</w:t>
      </w:r>
    </w:p>
    <w:p w:rsidR="00D2075F" w:rsidRPr="000573E6" w:rsidRDefault="00D2075F" w:rsidP="009A15C9">
      <w:pPr>
        <w:pStyle w:val="ListParagraph"/>
        <w:ind w:left="993" w:hanging="284"/>
        <w:jc w:val="both"/>
        <w:rPr>
          <w:lang w:val="en-GB"/>
        </w:rPr>
      </w:pPr>
    </w:p>
    <w:p w:rsidR="00D2075F" w:rsidRPr="000573E6" w:rsidRDefault="00D2075F" w:rsidP="009A15C9">
      <w:pPr>
        <w:pStyle w:val="ListParagraph"/>
        <w:numPr>
          <w:ilvl w:val="0"/>
          <w:numId w:val="5"/>
        </w:numPr>
        <w:spacing w:after="0"/>
        <w:ind w:left="993" w:hanging="284"/>
        <w:jc w:val="both"/>
        <w:rPr>
          <w:lang w:val="en-GB"/>
        </w:rPr>
      </w:pPr>
      <w:r w:rsidRPr="000573E6">
        <w:rPr>
          <w:lang w:val="en-GB"/>
        </w:rPr>
        <w:t xml:space="preserve">Is it the right time to discuss a comprehensive EU social pillar – as far as it is comprehensive? </w:t>
      </w:r>
      <w:r w:rsidR="003A72EA" w:rsidRPr="000573E6">
        <w:rPr>
          <w:lang w:val="en-GB"/>
        </w:rPr>
        <w:t>–</w:t>
      </w:r>
      <w:r w:rsidRPr="000573E6">
        <w:rPr>
          <w:lang w:val="en-GB"/>
        </w:rPr>
        <w:t xml:space="preserve"> </w:t>
      </w:r>
      <w:r w:rsidR="003A72EA" w:rsidRPr="000573E6">
        <w:rPr>
          <w:lang w:val="en-GB"/>
        </w:rPr>
        <w:t>and not more urgent to tackle in-</w:t>
      </w:r>
      <w:r w:rsidR="00E41EEF" w:rsidRPr="000573E6">
        <w:rPr>
          <w:lang w:val="en-GB"/>
        </w:rPr>
        <w:t>depth</w:t>
      </w:r>
      <w:r w:rsidR="003A72EA" w:rsidRPr="000573E6">
        <w:rPr>
          <w:lang w:val="en-GB"/>
        </w:rPr>
        <w:t xml:space="preserve"> and very concrete social problems </w:t>
      </w:r>
      <w:r w:rsidR="00825258">
        <w:rPr>
          <w:lang w:val="en-GB"/>
        </w:rPr>
        <w:t>such as</w:t>
      </w:r>
      <w:r w:rsidR="00825258" w:rsidRPr="000573E6">
        <w:rPr>
          <w:lang w:val="en-GB"/>
        </w:rPr>
        <w:t xml:space="preserve"> </w:t>
      </w:r>
      <w:r w:rsidR="003A72EA" w:rsidRPr="000573E6">
        <w:rPr>
          <w:lang w:val="en-GB"/>
        </w:rPr>
        <w:t xml:space="preserve">youth unemployment and the question of the future and </w:t>
      </w:r>
      <w:r w:rsidR="00E41EEF" w:rsidRPr="000573E6">
        <w:rPr>
          <w:lang w:val="en-GB"/>
        </w:rPr>
        <w:t>integration of</w:t>
      </w:r>
      <w:r w:rsidR="003A72EA" w:rsidRPr="000573E6">
        <w:rPr>
          <w:lang w:val="en-GB"/>
        </w:rPr>
        <w:t xml:space="preserve"> the refugees in the EU?</w:t>
      </w:r>
    </w:p>
    <w:p w:rsidR="003A72EA" w:rsidRPr="000573E6" w:rsidRDefault="003A72EA" w:rsidP="000573E6">
      <w:pPr>
        <w:spacing w:after="0"/>
        <w:jc w:val="both"/>
        <w:rPr>
          <w:lang w:val="en-GB"/>
        </w:rPr>
      </w:pPr>
    </w:p>
    <w:p w:rsidR="003A72EA" w:rsidRPr="000573E6" w:rsidRDefault="003A72EA" w:rsidP="000573E6">
      <w:pPr>
        <w:spacing w:after="0"/>
        <w:jc w:val="both"/>
        <w:rPr>
          <w:lang w:val="en-GB"/>
        </w:rPr>
      </w:pPr>
      <w:r w:rsidRPr="000573E6">
        <w:rPr>
          <w:lang w:val="en-GB"/>
        </w:rPr>
        <w:t xml:space="preserve">But it should be welcomed that the Commission revitalises the debate on a </w:t>
      </w:r>
      <w:r w:rsidRPr="000573E6">
        <w:rPr>
          <w:b/>
          <w:i/>
          <w:lang w:val="en-GB"/>
        </w:rPr>
        <w:t>social Europe</w:t>
      </w:r>
      <w:r w:rsidRPr="000573E6">
        <w:rPr>
          <w:lang w:val="en-GB"/>
        </w:rPr>
        <w:t xml:space="preserve"> with the Communication and the public consultation, which is worthwhile to be taken up by CEC and its constituency. If we think about what the EU should </w:t>
      </w:r>
      <w:r w:rsidR="0080002A" w:rsidRPr="000573E6">
        <w:rPr>
          <w:lang w:val="en-GB"/>
        </w:rPr>
        <w:t>deliver and what churches have asked for in their commitment to the European project then one main aspect was and is social welfare.</w:t>
      </w:r>
      <w:r w:rsidR="0080002A" w:rsidRPr="000573E6">
        <w:rPr>
          <w:rStyle w:val="FootnoteReference"/>
          <w:lang w:val="en-GB"/>
        </w:rPr>
        <w:footnoteReference w:id="17"/>
      </w:r>
    </w:p>
    <w:p w:rsidR="00110A84" w:rsidRPr="000573E6" w:rsidRDefault="00110A84" w:rsidP="000573E6">
      <w:pPr>
        <w:spacing w:after="0"/>
        <w:jc w:val="both"/>
        <w:rPr>
          <w:lang w:val="en-GB"/>
        </w:rPr>
      </w:pPr>
    </w:p>
    <w:sectPr w:rsidR="00110A84" w:rsidRPr="000573E6" w:rsidSect="004900B6">
      <w:headerReference w:type="even" r:id="rId9"/>
      <w:headerReference w:type="default" r:id="rId10"/>
      <w:headerReference w:type="first" r:id="rId11"/>
      <w:footerReference w:type="first" r:id="rId12"/>
      <w:pgSz w:w="11909" w:h="16834" w:code="9"/>
      <w:pgMar w:top="1418" w:right="1418" w:bottom="1418" w:left="1418"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0B" w:rsidRDefault="001B6F0B">
      <w:pPr>
        <w:spacing w:after="0"/>
      </w:pPr>
      <w:r>
        <w:separator/>
      </w:r>
    </w:p>
  </w:endnote>
  <w:endnote w:type="continuationSeparator" w:id="0">
    <w:p w:rsidR="001B6F0B" w:rsidRDefault="001B6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B6" w:rsidRDefault="004900B6" w:rsidP="004900B6">
    <w:pPr>
      <w:pStyle w:val="Footer"/>
      <w:rPr>
        <w:rFonts w:ascii="Verdana" w:hAnsi="Verdana"/>
        <w:sz w:val="14"/>
        <w:szCs w:val="20"/>
        <w:lang w:val="en-US"/>
      </w:rPr>
    </w:pPr>
  </w:p>
  <w:p w:rsidR="004900B6" w:rsidRDefault="004900B6" w:rsidP="004900B6">
    <w:pPr>
      <w:pStyle w:val="Header"/>
      <w:tabs>
        <w:tab w:val="clear" w:pos="4320"/>
        <w:tab w:val="left" w:pos="5760"/>
      </w:tabs>
      <w:spacing w:before="120" w:after="120"/>
      <w:jc w:val="center"/>
      <w:rPr>
        <w:rFonts w:ascii="Verdana" w:hAnsi="Verdan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0B" w:rsidRDefault="001B6F0B">
      <w:pPr>
        <w:spacing w:after="0"/>
      </w:pPr>
      <w:r>
        <w:separator/>
      </w:r>
    </w:p>
  </w:footnote>
  <w:footnote w:type="continuationSeparator" w:id="0">
    <w:p w:rsidR="001B6F0B" w:rsidRDefault="001B6F0B">
      <w:pPr>
        <w:spacing w:after="0"/>
      </w:pPr>
      <w:r>
        <w:continuationSeparator/>
      </w:r>
    </w:p>
  </w:footnote>
  <w:footnote w:id="1">
    <w:p w:rsidR="00A40463" w:rsidRPr="006A259B" w:rsidRDefault="00A40463">
      <w:pPr>
        <w:pStyle w:val="FootnoteText"/>
        <w:rPr>
          <w:lang w:val="en-GB"/>
        </w:rPr>
      </w:pPr>
      <w:r>
        <w:rPr>
          <w:rStyle w:val="FootnoteReference"/>
        </w:rPr>
        <w:footnoteRef/>
      </w:r>
      <w:r w:rsidRPr="006A259B">
        <w:rPr>
          <w:lang w:val="en-GB"/>
        </w:rPr>
        <w:t xml:space="preserve"> EC Communication, 8.3.2016; COM (2016) 127 final.</w:t>
      </w:r>
      <w:r w:rsidR="00DB335B">
        <w:rPr>
          <w:lang w:val="en-GB"/>
        </w:rPr>
        <w:t xml:space="preserve"> </w:t>
      </w:r>
    </w:p>
  </w:footnote>
  <w:footnote w:id="2">
    <w:p w:rsidR="00A40463" w:rsidRPr="006A259B" w:rsidRDefault="00A40463">
      <w:pPr>
        <w:pStyle w:val="FootnoteText"/>
        <w:rPr>
          <w:lang w:val="en-GB"/>
        </w:rPr>
      </w:pPr>
      <w:r>
        <w:rPr>
          <w:rStyle w:val="FootnoteReference"/>
        </w:rPr>
        <w:footnoteRef/>
      </w:r>
      <w:r w:rsidRPr="006A259B">
        <w:rPr>
          <w:lang w:val="en-GB"/>
        </w:rPr>
        <w:t xml:space="preserve"> EC Communication </w:t>
      </w:r>
      <w:r w:rsidR="00E507B2" w:rsidRPr="006A259B">
        <w:rPr>
          <w:lang w:val="en-GB"/>
        </w:rPr>
        <w:t xml:space="preserve">127 final, </w:t>
      </w:r>
      <w:r w:rsidRPr="006A259B">
        <w:rPr>
          <w:lang w:val="en-GB"/>
        </w:rPr>
        <w:t>p2.</w:t>
      </w:r>
    </w:p>
  </w:footnote>
  <w:footnote w:id="3">
    <w:p w:rsidR="00AF0963" w:rsidRPr="006A259B" w:rsidRDefault="00AF0963">
      <w:pPr>
        <w:pStyle w:val="FootnoteText"/>
        <w:rPr>
          <w:lang w:val="en-GB"/>
        </w:rPr>
      </w:pPr>
      <w:r>
        <w:rPr>
          <w:rStyle w:val="FootnoteReference"/>
        </w:rPr>
        <w:footnoteRef/>
      </w:r>
      <w:r w:rsidRPr="006A259B">
        <w:rPr>
          <w:lang w:val="en-GB"/>
        </w:rPr>
        <w:t xml:space="preserve"> Annex 1 to COM (2016) 127 final.</w:t>
      </w:r>
    </w:p>
  </w:footnote>
  <w:footnote w:id="4">
    <w:p w:rsidR="00AF0963" w:rsidRPr="006A259B" w:rsidRDefault="00AF0963">
      <w:pPr>
        <w:pStyle w:val="FootnoteText"/>
        <w:rPr>
          <w:lang w:val="en-GB"/>
        </w:rPr>
      </w:pPr>
      <w:r>
        <w:rPr>
          <w:rStyle w:val="FootnoteReference"/>
        </w:rPr>
        <w:footnoteRef/>
      </w:r>
      <w:r w:rsidRPr="006A259B">
        <w:rPr>
          <w:lang w:val="en-GB"/>
        </w:rPr>
        <w:t xml:space="preserve"> SWD (2016) 50 final.</w:t>
      </w:r>
    </w:p>
  </w:footnote>
  <w:footnote w:id="5">
    <w:p w:rsidR="00AF0963" w:rsidRPr="006A259B" w:rsidRDefault="00AF0963">
      <w:pPr>
        <w:pStyle w:val="FootnoteText"/>
        <w:rPr>
          <w:lang w:val="en-GB"/>
        </w:rPr>
      </w:pPr>
      <w:r>
        <w:rPr>
          <w:rStyle w:val="FootnoteReference"/>
        </w:rPr>
        <w:footnoteRef/>
      </w:r>
      <w:r w:rsidRPr="006A259B">
        <w:rPr>
          <w:lang w:val="en-GB"/>
        </w:rPr>
        <w:t xml:space="preserve"> SWD (2016) 51 final.</w:t>
      </w:r>
      <w:r w:rsidR="00DB335B">
        <w:rPr>
          <w:lang w:val="en-GB"/>
        </w:rPr>
        <w:t xml:space="preserve"> – The four documents are </w:t>
      </w:r>
      <w:r w:rsidR="00763497">
        <w:rPr>
          <w:lang w:val="en-GB"/>
        </w:rPr>
        <w:t xml:space="preserve">available </w:t>
      </w:r>
      <w:r w:rsidR="00DB335B">
        <w:rPr>
          <w:lang w:val="en-GB"/>
        </w:rPr>
        <w:t xml:space="preserve">in all EU languages: </w:t>
      </w:r>
      <w:hyperlink r:id="rId1" w:history="1">
        <w:r w:rsidR="00DB335B" w:rsidRPr="00AF573F">
          <w:rPr>
            <w:rStyle w:val="Hyperlink"/>
            <w:lang w:val="en-GB"/>
          </w:rPr>
          <w:t>https://circabc.europa.eu/faces/jsp/extension/wai/navigation/container.jsp</w:t>
        </w:r>
      </w:hyperlink>
      <w:r w:rsidR="00DB335B">
        <w:rPr>
          <w:lang w:val="en-GB"/>
        </w:rPr>
        <w:t xml:space="preserve">.  </w:t>
      </w:r>
    </w:p>
  </w:footnote>
  <w:footnote w:id="6">
    <w:p w:rsidR="006A199A" w:rsidRPr="006A259B" w:rsidRDefault="006A199A">
      <w:pPr>
        <w:pStyle w:val="FootnoteText"/>
        <w:rPr>
          <w:lang w:val="en-GB"/>
        </w:rPr>
      </w:pPr>
      <w:r>
        <w:rPr>
          <w:rStyle w:val="FootnoteReference"/>
        </w:rPr>
        <w:footnoteRef/>
      </w:r>
      <w:r w:rsidRPr="006A259B">
        <w:rPr>
          <w:lang w:val="en-GB"/>
        </w:rPr>
        <w:t xml:space="preserve"> EC Communication 127 final, p2.</w:t>
      </w:r>
    </w:p>
  </w:footnote>
  <w:footnote w:id="7">
    <w:p w:rsidR="006A53CA" w:rsidRPr="006A53CA" w:rsidRDefault="006A53CA">
      <w:pPr>
        <w:pStyle w:val="FootnoteText"/>
        <w:rPr>
          <w:lang w:val="en-GB"/>
        </w:rPr>
      </w:pPr>
      <w:r>
        <w:rPr>
          <w:rStyle w:val="FootnoteReference"/>
        </w:rPr>
        <w:footnoteRef/>
      </w:r>
      <w:r w:rsidRPr="006A53CA">
        <w:rPr>
          <w:lang w:val="en-GB"/>
        </w:rPr>
        <w:t xml:space="preserve"> The legal acquis means the existing EU legislation in the </w:t>
      </w:r>
      <w:r>
        <w:rPr>
          <w:lang w:val="en-GB"/>
        </w:rPr>
        <w:t>social and employment policy area</w:t>
      </w:r>
      <w:r w:rsidR="00C20C3E">
        <w:rPr>
          <w:lang w:val="en-GB"/>
        </w:rPr>
        <w:t>, particular</w:t>
      </w:r>
      <w:r w:rsidR="00763497">
        <w:rPr>
          <w:lang w:val="en-GB"/>
        </w:rPr>
        <w:t>ly</w:t>
      </w:r>
      <w:r w:rsidR="00C20C3E">
        <w:rPr>
          <w:lang w:val="en-GB"/>
        </w:rPr>
        <w:t xml:space="preserve"> through Directives, based on the Treaties.</w:t>
      </w:r>
      <w:r w:rsidR="00EB3D87">
        <w:rPr>
          <w:lang w:val="en-GB"/>
        </w:rPr>
        <w:t xml:space="preserve"> See also the Commission staff working document about the EU social acquis (SWD (2016) 50 final.</w:t>
      </w:r>
    </w:p>
  </w:footnote>
  <w:footnote w:id="8">
    <w:p w:rsidR="002918A5" w:rsidRPr="006A259B" w:rsidRDefault="002918A5">
      <w:pPr>
        <w:pStyle w:val="FootnoteText"/>
        <w:rPr>
          <w:lang w:val="en-GB"/>
        </w:rPr>
      </w:pPr>
      <w:r>
        <w:rPr>
          <w:rStyle w:val="FootnoteReference"/>
        </w:rPr>
        <w:footnoteRef/>
      </w:r>
      <w:r w:rsidRPr="006A259B">
        <w:rPr>
          <w:lang w:val="en-GB"/>
        </w:rPr>
        <w:t xml:space="preserve"> EC Communication 127 final, p5.</w:t>
      </w:r>
    </w:p>
  </w:footnote>
  <w:footnote w:id="9">
    <w:p w:rsidR="00C20C3E" w:rsidRPr="00C20C3E" w:rsidRDefault="00C20C3E">
      <w:pPr>
        <w:pStyle w:val="FootnoteText"/>
        <w:rPr>
          <w:lang w:val="en-GB"/>
        </w:rPr>
      </w:pPr>
      <w:r>
        <w:rPr>
          <w:rStyle w:val="FootnoteReference"/>
        </w:rPr>
        <w:footnoteRef/>
      </w:r>
      <w:r w:rsidRPr="00C20C3E">
        <w:rPr>
          <w:lang w:val="en-GB"/>
        </w:rPr>
        <w:t xml:space="preserve"> </w:t>
      </w:r>
      <w:r>
        <w:rPr>
          <w:lang w:val="en-GB"/>
        </w:rPr>
        <w:t>See footnote 2 – Junker’s speech.</w:t>
      </w:r>
    </w:p>
  </w:footnote>
  <w:footnote w:id="10">
    <w:p w:rsidR="00784B8B" w:rsidRPr="00784B8B" w:rsidRDefault="00784B8B">
      <w:pPr>
        <w:pStyle w:val="FootnoteText"/>
        <w:rPr>
          <w:lang w:val="en-GB"/>
        </w:rPr>
      </w:pPr>
      <w:r>
        <w:rPr>
          <w:rStyle w:val="FootnoteReference"/>
        </w:rPr>
        <w:footnoteRef/>
      </w:r>
      <w:r w:rsidRPr="00784B8B">
        <w:rPr>
          <w:lang w:val="en-GB"/>
        </w:rPr>
        <w:t xml:space="preserve"> Annex 1 to COM (2016) 127 final, p2.</w:t>
      </w:r>
    </w:p>
  </w:footnote>
  <w:footnote w:id="11">
    <w:p w:rsidR="000E04A9" w:rsidRPr="000E04A9" w:rsidRDefault="000E04A9">
      <w:pPr>
        <w:pStyle w:val="FootnoteText"/>
        <w:rPr>
          <w:lang w:val="en-GB"/>
        </w:rPr>
      </w:pPr>
      <w:r>
        <w:rPr>
          <w:rStyle w:val="FootnoteReference"/>
        </w:rPr>
        <w:footnoteRef/>
      </w:r>
      <w:r w:rsidRPr="000E04A9">
        <w:rPr>
          <w:lang w:val="en-GB"/>
        </w:rPr>
        <w:t xml:space="preserve"> Anne</w:t>
      </w:r>
      <w:r>
        <w:rPr>
          <w:lang w:val="en-GB"/>
        </w:rPr>
        <w:t>x 1 to COM (2016) 127 final – the whole document.</w:t>
      </w:r>
    </w:p>
  </w:footnote>
  <w:footnote w:id="12">
    <w:p w:rsidR="000E04A9" w:rsidRPr="000E04A9" w:rsidRDefault="000E04A9">
      <w:pPr>
        <w:pStyle w:val="FootnoteText"/>
        <w:rPr>
          <w:lang w:val="en-GB"/>
        </w:rPr>
      </w:pPr>
      <w:r>
        <w:rPr>
          <w:rStyle w:val="FootnoteReference"/>
        </w:rPr>
        <w:footnoteRef/>
      </w:r>
      <w:r w:rsidRPr="000E04A9">
        <w:rPr>
          <w:lang w:val="en-GB"/>
        </w:rPr>
        <w:t xml:space="preserve"> Annex 1 to COM (2016) 127 final, p2.</w:t>
      </w:r>
    </w:p>
  </w:footnote>
  <w:footnote w:id="13">
    <w:p w:rsidR="0095284E" w:rsidRPr="000573E6" w:rsidRDefault="0095284E">
      <w:pPr>
        <w:pStyle w:val="FootnoteText"/>
        <w:rPr>
          <w:lang w:val="en-GB"/>
        </w:rPr>
      </w:pPr>
      <w:r>
        <w:rPr>
          <w:rStyle w:val="FootnoteReference"/>
        </w:rPr>
        <w:footnoteRef/>
      </w:r>
      <w:r w:rsidRPr="000573E6">
        <w:rPr>
          <w:lang w:val="en-GB"/>
        </w:rPr>
        <w:t xml:space="preserve"> EC Communication 127 final, p9.</w:t>
      </w:r>
    </w:p>
  </w:footnote>
  <w:footnote w:id="14">
    <w:p w:rsidR="0095284E" w:rsidRPr="000573E6" w:rsidRDefault="0095284E">
      <w:pPr>
        <w:pStyle w:val="FootnoteText"/>
        <w:rPr>
          <w:lang w:val="en-GB"/>
        </w:rPr>
      </w:pPr>
      <w:r>
        <w:rPr>
          <w:rStyle w:val="FootnoteReference"/>
        </w:rPr>
        <w:footnoteRef/>
      </w:r>
      <w:r w:rsidRPr="000573E6">
        <w:rPr>
          <w:lang w:val="en-GB"/>
        </w:rPr>
        <w:t xml:space="preserve"> See document:160629ESO national events schedule.</w:t>
      </w:r>
    </w:p>
  </w:footnote>
  <w:footnote w:id="15">
    <w:p w:rsidR="006E7AC7" w:rsidRPr="00AD4B4D" w:rsidRDefault="006E7AC7">
      <w:pPr>
        <w:pStyle w:val="FootnoteText"/>
        <w:rPr>
          <w:lang w:val="en-GB"/>
        </w:rPr>
      </w:pPr>
      <w:r>
        <w:rPr>
          <w:rStyle w:val="FootnoteReference"/>
        </w:rPr>
        <w:footnoteRef/>
      </w:r>
      <w:r w:rsidRPr="00AD4B4D">
        <w:rPr>
          <w:lang w:val="en-GB"/>
        </w:rPr>
        <w:t xml:space="preserve"> See: </w:t>
      </w:r>
      <w:r w:rsidR="00E41EEF" w:rsidRPr="00AD4B4D">
        <w:rPr>
          <w:lang w:val="en-GB"/>
        </w:rPr>
        <w:t>attachment</w:t>
      </w:r>
      <w:r w:rsidRPr="00AD4B4D">
        <w:rPr>
          <w:lang w:val="en-GB"/>
        </w:rPr>
        <w:t xml:space="preserve"> „Questionnaire“ in the </w:t>
      </w:r>
      <w:r w:rsidR="00825258">
        <w:rPr>
          <w:lang w:val="en-GB"/>
        </w:rPr>
        <w:t>e-</w:t>
      </w:r>
      <w:r w:rsidRPr="00AD4B4D">
        <w:rPr>
          <w:lang w:val="en-GB"/>
        </w:rPr>
        <w:t>mail.</w:t>
      </w:r>
      <w:r w:rsidR="00AD4B4D" w:rsidRPr="00AD4B4D">
        <w:rPr>
          <w:lang w:val="en-GB"/>
        </w:rPr>
        <w:t xml:space="preserve"> Not every question must be answered.</w:t>
      </w:r>
    </w:p>
  </w:footnote>
  <w:footnote w:id="16">
    <w:p w:rsidR="00110A84" w:rsidRPr="00110A84" w:rsidRDefault="00110A84">
      <w:pPr>
        <w:pStyle w:val="FootnoteText"/>
        <w:rPr>
          <w:lang w:val="en-GB"/>
        </w:rPr>
      </w:pPr>
      <w:r>
        <w:rPr>
          <w:rStyle w:val="FootnoteReference"/>
        </w:rPr>
        <w:footnoteRef/>
      </w:r>
      <w:r w:rsidRPr="00110A84">
        <w:rPr>
          <w:lang w:val="en-GB"/>
        </w:rPr>
        <w:t xml:space="preserve"> This can be more </w:t>
      </w:r>
      <w:r w:rsidR="00763497">
        <w:rPr>
          <w:lang w:val="en-GB"/>
        </w:rPr>
        <w:t>extensively</w:t>
      </w:r>
      <w:r w:rsidR="00763497" w:rsidRPr="00110A84">
        <w:rPr>
          <w:lang w:val="en-GB"/>
        </w:rPr>
        <w:t xml:space="preserve"> </w:t>
      </w:r>
      <w:r w:rsidRPr="00110A84">
        <w:rPr>
          <w:lang w:val="en-GB"/>
        </w:rPr>
        <w:t>discussed in the next TRG meeting.</w:t>
      </w:r>
    </w:p>
  </w:footnote>
  <w:footnote w:id="17">
    <w:p w:rsidR="0080002A" w:rsidRPr="0080002A" w:rsidRDefault="0080002A">
      <w:pPr>
        <w:pStyle w:val="FootnoteText"/>
        <w:rPr>
          <w:lang w:val="en-GB"/>
        </w:rPr>
      </w:pPr>
      <w:r>
        <w:rPr>
          <w:rStyle w:val="FootnoteReference"/>
        </w:rPr>
        <w:footnoteRef/>
      </w:r>
      <w:r w:rsidRPr="0080002A">
        <w:rPr>
          <w:lang w:val="en-GB"/>
        </w:rPr>
        <w:t xml:space="preserve"> Open letter CEC to churches and partner organisations in </w:t>
      </w:r>
      <w:r>
        <w:rPr>
          <w:lang w:val="en-GB"/>
        </w:rPr>
        <w:t>E</w:t>
      </w:r>
      <w:r w:rsidRPr="0080002A">
        <w:rPr>
          <w:lang w:val="en-GB"/>
        </w:rPr>
        <w:t xml:space="preserve">urope: </w:t>
      </w:r>
      <w:r>
        <w:rPr>
          <w:lang w:val="en-GB"/>
        </w:rPr>
        <w:t xml:space="preserve">What future for Europe? Reaffirming the European project as building a community of values, June 2016: </w:t>
      </w:r>
      <w:hyperlink r:id="rId2" w:history="1">
        <w:r w:rsidRPr="00AF573F">
          <w:rPr>
            <w:rStyle w:val="Hyperlink"/>
            <w:lang w:val="en-GB"/>
          </w:rPr>
          <w:t>http://www.ceceurope.org/open-letter/</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B6" w:rsidRDefault="00B72B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0B6" w:rsidRDefault="004900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B6" w:rsidRDefault="00B72B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58D">
      <w:rPr>
        <w:rStyle w:val="PageNumber"/>
        <w:noProof/>
      </w:rPr>
      <w:t>4</w:t>
    </w:r>
    <w:r>
      <w:rPr>
        <w:rStyle w:val="PageNumber"/>
      </w:rPr>
      <w:fldChar w:fldCharType="end"/>
    </w:r>
  </w:p>
  <w:p w:rsidR="004900B6" w:rsidRDefault="004900B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B6" w:rsidRDefault="00C634F7">
    <w:pPr>
      <w:pStyle w:val="Header"/>
    </w:pPr>
    <w:r>
      <w:rPr>
        <w:noProof/>
        <w:lang w:val="en-GB" w:eastAsia="en-GB"/>
      </w:rPr>
      <w:drawing>
        <wp:anchor distT="0" distB="0" distL="114300" distR="114300" simplePos="0" relativeHeight="251657728" behindDoc="0" locked="0" layoutInCell="1" allowOverlap="1" wp14:anchorId="6F49D8B7" wp14:editId="7F0BE2E2">
          <wp:simplePos x="0" y="0"/>
          <wp:positionH relativeFrom="column">
            <wp:posOffset>-900430</wp:posOffset>
          </wp:positionH>
          <wp:positionV relativeFrom="paragraph">
            <wp:posOffset>-360045</wp:posOffset>
          </wp:positionV>
          <wp:extent cx="7560310" cy="1506855"/>
          <wp:effectExtent l="0" t="0" r="2540" b="0"/>
          <wp:wrapSquare wrapText="bothSides"/>
          <wp:docPr id="1" name="Picture 6" descr="ente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0B6" w:rsidRDefault="004900B6">
    <w:pPr>
      <w:pStyle w:val="Header"/>
      <w:tabs>
        <w:tab w:val="clear" w:pos="4320"/>
        <w:tab w:val="clear" w:pos="8640"/>
        <w:tab w:val="left" w:pos="5760"/>
      </w:tabs>
      <w:spacing w:before="40"/>
      <w:rPr>
        <w:rFonts w:ascii="Verdana" w:hAnsi="Verdana"/>
        <w:color w:val="605E4F"/>
        <w:spacing w:val="-10"/>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B5113"/>
    <w:multiLevelType w:val="hybridMultilevel"/>
    <w:tmpl w:val="F512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F46120"/>
    <w:multiLevelType w:val="hybridMultilevel"/>
    <w:tmpl w:val="9626DC3E"/>
    <w:lvl w:ilvl="0" w:tplc="E93C2CD6">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440A6A00"/>
    <w:multiLevelType w:val="hybridMultilevel"/>
    <w:tmpl w:val="72F0EE8C"/>
    <w:lvl w:ilvl="0" w:tplc="989E80D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nsid w:val="44966DBD"/>
    <w:multiLevelType w:val="hybridMultilevel"/>
    <w:tmpl w:val="8B6A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4B7DA4"/>
    <w:multiLevelType w:val="hybridMultilevel"/>
    <w:tmpl w:val="9C90ED56"/>
    <w:lvl w:ilvl="0" w:tplc="7B8AC0D8">
      <w:start w:val="3"/>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950CD3"/>
    <w:multiLevelType w:val="hybridMultilevel"/>
    <w:tmpl w:val="798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ED6CA0"/>
    <w:multiLevelType w:val="hybridMultilevel"/>
    <w:tmpl w:val="4F3AF3D8"/>
    <w:lvl w:ilvl="0" w:tplc="81CCDCC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EB3CE1"/>
    <w:multiLevelType w:val="hybridMultilevel"/>
    <w:tmpl w:val="31DA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62"/>
    <w:rsid w:val="000139E6"/>
    <w:rsid w:val="0003240D"/>
    <w:rsid w:val="000573E6"/>
    <w:rsid w:val="000D7E36"/>
    <w:rsid w:val="000E04A9"/>
    <w:rsid w:val="000E6BF3"/>
    <w:rsid w:val="00110A84"/>
    <w:rsid w:val="001B14C8"/>
    <w:rsid w:val="001B6F0B"/>
    <w:rsid w:val="001C4D49"/>
    <w:rsid w:val="001D653F"/>
    <w:rsid w:val="0028247A"/>
    <w:rsid w:val="002918A5"/>
    <w:rsid w:val="00300555"/>
    <w:rsid w:val="003111A8"/>
    <w:rsid w:val="0032002E"/>
    <w:rsid w:val="00333684"/>
    <w:rsid w:val="0038121B"/>
    <w:rsid w:val="003937B6"/>
    <w:rsid w:val="003A72EA"/>
    <w:rsid w:val="003C281D"/>
    <w:rsid w:val="003E582B"/>
    <w:rsid w:val="00471020"/>
    <w:rsid w:val="00474DF1"/>
    <w:rsid w:val="004900B6"/>
    <w:rsid w:val="004B777C"/>
    <w:rsid w:val="004C4CC0"/>
    <w:rsid w:val="004E223A"/>
    <w:rsid w:val="00500980"/>
    <w:rsid w:val="005503A0"/>
    <w:rsid w:val="00565512"/>
    <w:rsid w:val="005B537D"/>
    <w:rsid w:val="005D0957"/>
    <w:rsid w:val="00613668"/>
    <w:rsid w:val="00647F81"/>
    <w:rsid w:val="00665373"/>
    <w:rsid w:val="00672F7D"/>
    <w:rsid w:val="00680444"/>
    <w:rsid w:val="006A199A"/>
    <w:rsid w:val="006A259B"/>
    <w:rsid w:val="006A53CA"/>
    <w:rsid w:val="006E058D"/>
    <w:rsid w:val="006E674B"/>
    <w:rsid w:val="006E7AC7"/>
    <w:rsid w:val="00731BEA"/>
    <w:rsid w:val="007572F6"/>
    <w:rsid w:val="00763497"/>
    <w:rsid w:val="00784B8B"/>
    <w:rsid w:val="007A32FF"/>
    <w:rsid w:val="007C5886"/>
    <w:rsid w:val="0080002A"/>
    <w:rsid w:val="00800574"/>
    <w:rsid w:val="0082014F"/>
    <w:rsid w:val="00825258"/>
    <w:rsid w:val="00884031"/>
    <w:rsid w:val="00891C8B"/>
    <w:rsid w:val="00896980"/>
    <w:rsid w:val="008F2362"/>
    <w:rsid w:val="008F6462"/>
    <w:rsid w:val="008F6D35"/>
    <w:rsid w:val="009456E5"/>
    <w:rsid w:val="0095284E"/>
    <w:rsid w:val="00992175"/>
    <w:rsid w:val="009A15C9"/>
    <w:rsid w:val="009B05C7"/>
    <w:rsid w:val="00A40463"/>
    <w:rsid w:val="00AC5333"/>
    <w:rsid w:val="00AD4B4D"/>
    <w:rsid w:val="00AF0963"/>
    <w:rsid w:val="00AF6ED7"/>
    <w:rsid w:val="00B06339"/>
    <w:rsid w:val="00B30B05"/>
    <w:rsid w:val="00B3403B"/>
    <w:rsid w:val="00B72BAE"/>
    <w:rsid w:val="00C15B85"/>
    <w:rsid w:val="00C20C3E"/>
    <w:rsid w:val="00C634F7"/>
    <w:rsid w:val="00D2075F"/>
    <w:rsid w:val="00D77D88"/>
    <w:rsid w:val="00D87912"/>
    <w:rsid w:val="00D90382"/>
    <w:rsid w:val="00DA5F71"/>
    <w:rsid w:val="00DB335B"/>
    <w:rsid w:val="00DF044F"/>
    <w:rsid w:val="00DF1B53"/>
    <w:rsid w:val="00E34B45"/>
    <w:rsid w:val="00E41EEF"/>
    <w:rsid w:val="00E44AF4"/>
    <w:rsid w:val="00E507B2"/>
    <w:rsid w:val="00E97740"/>
    <w:rsid w:val="00EA5597"/>
    <w:rsid w:val="00EB3D87"/>
    <w:rsid w:val="00F5641A"/>
    <w:rsid w:val="00FD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AE"/>
    <w:pPr>
      <w:spacing w:after="200"/>
    </w:pPr>
    <w:rPr>
      <w:rFonts w:ascii="Cambria" w:eastAsia="Cambria" w:hAnsi="Cambria"/>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2BAE"/>
    <w:pPr>
      <w:tabs>
        <w:tab w:val="center" w:pos="4320"/>
        <w:tab w:val="right" w:pos="8640"/>
      </w:tabs>
    </w:pPr>
  </w:style>
  <w:style w:type="character" w:customStyle="1" w:styleId="FooterChar">
    <w:name w:val="Footer Char"/>
    <w:link w:val="Footer"/>
    <w:rsid w:val="00B72BAE"/>
    <w:rPr>
      <w:rFonts w:ascii="Cambria" w:eastAsia="Cambria" w:hAnsi="Cambria" w:cs="Times New Roman"/>
      <w:sz w:val="24"/>
      <w:szCs w:val="24"/>
      <w:lang w:val="fr-FR"/>
    </w:rPr>
  </w:style>
  <w:style w:type="paragraph" w:styleId="Header">
    <w:name w:val="header"/>
    <w:basedOn w:val="Normal"/>
    <w:link w:val="HeaderChar"/>
    <w:semiHidden/>
    <w:rsid w:val="00B72BAE"/>
    <w:pPr>
      <w:tabs>
        <w:tab w:val="center" w:pos="4320"/>
        <w:tab w:val="right" w:pos="8640"/>
      </w:tabs>
    </w:pPr>
  </w:style>
  <w:style w:type="character" w:customStyle="1" w:styleId="HeaderChar">
    <w:name w:val="Header Char"/>
    <w:link w:val="Header"/>
    <w:semiHidden/>
    <w:rsid w:val="00B72BAE"/>
    <w:rPr>
      <w:rFonts w:ascii="Cambria" w:eastAsia="Cambria" w:hAnsi="Cambria" w:cs="Times New Roman"/>
      <w:sz w:val="24"/>
      <w:szCs w:val="24"/>
      <w:lang w:val="fr-FR"/>
    </w:rPr>
  </w:style>
  <w:style w:type="character" w:styleId="PageNumber">
    <w:name w:val="page number"/>
    <w:basedOn w:val="DefaultParagraphFont"/>
    <w:semiHidden/>
    <w:rsid w:val="00B72BAE"/>
  </w:style>
  <w:style w:type="paragraph" w:styleId="ListParagraph">
    <w:name w:val="List Paragraph"/>
    <w:basedOn w:val="Normal"/>
    <w:uiPriority w:val="34"/>
    <w:qFormat/>
    <w:rsid w:val="00B72BAE"/>
    <w:pPr>
      <w:ind w:left="720"/>
      <w:contextualSpacing/>
    </w:pPr>
  </w:style>
  <w:style w:type="paragraph" w:styleId="BalloonText">
    <w:name w:val="Balloon Text"/>
    <w:basedOn w:val="Normal"/>
    <w:link w:val="BalloonTextChar"/>
    <w:uiPriority w:val="99"/>
    <w:semiHidden/>
    <w:unhideWhenUsed/>
    <w:rsid w:val="0028247A"/>
    <w:pPr>
      <w:spacing w:after="0"/>
    </w:pPr>
    <w:rPr>
      <w:rFonts w:ascii="Tahoma" w:hAnsi="Tahoma" w:cs="Tahoma"/>
      <w:sz w:val="16"/>
      <w:szCs w:val="16"/>
    </w:rPr>
  </w:style>
  <w:style w:type="character" w:customStyle="1" w:styleId="BalloonTextChar">
    <w:name w:val="Balloon Text Char"/>
    <w:link w:val="BalloonText"/>
    <w:uiPriority w:val="99"/>
    <w:semiHidden/>
    <w:rsid w:val="0028247A"/>
    <w:rPr>
      <w:rFonts w:ascii="Tahoma" w:eastAsia="Cambria" w:hAnsi="Tahoma" w:cs="Tahoma"/>
      <w:sz w:val="16"/>
      <w:szCs w:val="16"/>
      <w:lang w:val="fr-FR"/>
    </w:rPr>
  </w:style>
  <w:style w:type="character" w:styleId="Hyperlink">
    <w:name w:val="Hyperlink"/>
    <w:semiHidden/>
    <w:rsid w:val="00474DF1"/>
    <w:rPr>
      <w:color w:val="0000FF"/>
      <w:u w:val="single"/>
    </w:rPr>
  </w:style>
  <w:style w:type="paragraph" w:styleId="FootnoteText">
    <w:name w:val="footnote text"/>
    <w:basedOn w:val="Normal"/>
    <w:link w:val="FootnoteTextChar"/>
    <w:uiPriority w:val="99"/>
    <w:semiHidden/>
    <w:unhideWhenUsed/>
    <w:rsid w:val="00665373"/>
    <w:pPr>
      <w:spacing w:after="0"/>
    </w:pPr>
    <w:rPr>
      <w:sz w:val="20"/>
      <w:szCs w:val="20"/>
    </w:rPr>
  </w:style>
  <w:style w:type="character" w:customStyle="1" w:styleId="FootnoteTextChar">
    <w:name w:val="Footnote Text Char"/>
    <w:basedOn w:val="DefaultParagraphFont"/>
    <w:link w:val="FootnoteText"/>
    <w:uiPriority w:val="99"/>
    <w:semiHidden/>
    <w:rsid w:val="00665373"/>
    <w:rPr>
      <w:rFonts w:ascii="Cambria" w:eastAsia="Cambria" w:hAnsi="Cambria"/>
      <w:lang w:val="fr-FR" w:eastAsia="en-US"/>
    </w:rPr>
  </w:style>
  <w:style w:type="character" w:styleId="FootnoteReference">
    <w:name w:val="footnote reference"/>
    <w:basedOn w:val="DefaultParagraphFont"/>
    <w:uiPriority w:val="99"/>
    <w:semiHidden/>
    <w:unhideWhenUsed/>
    <w:rsid w:val="00665373"/>
    <w:rPr>
      <w:vertAlign w:val="superscript"/>
    </w:rPr>
  </w:style>
  <w:style w:type="character" w:styleId="CommentReference">
    <w:name w:val="annotation reference"/>
    <w:basedOn w:val="DefaultParagraphFont"/>
    <w:uiPriority w:val="99"/>
    <w:semiHidden/>
    <w:unhideWhenUsed/>
    <w:rsid w:val="00565512"/>
    <w:rPr>
      <w:sz w:val="16"/>
      <w:szCs w:val="16"/>
    </w:rPr>
  </w:style>
  <w:style w:type="paragraph" w:styleId="CommentText">
    <w:name w:val="annotation text"/>
    <w:basedOn w:val="Normal"/>
    <w:link w:val="CommentTextChar"/>
    <w:uiPriority w:val="99"/>
    <w:semiHidden/>
    <w:unhideWhenUsed/>
    <w:rsid w:val="00565512"/>
    <w:rPr>
      <w:sz w:val="20"/>
      <w:szCs w:val="20"/>
    </w:rPr>
  </w:style>
  <w:style w:type="character" w:customStyle="1" w:styleId="CommentTextChar">
    <w:name w:val="Comment Text Char"/>
    <w:basedOn w:val="DefaultParagraphFont"/>
    <w:link w:val="CommentText"/>
    <w:uiPriority w:val="99"/>
    <w:semiHidden/>
    <w:rsid w:val="00565512"/>
    <w:rPr>
      <w:rFonts w:ascii="Cambria" w:eastAsia="Cambria" w:hAnsi="Cambria"/>
      <w:lang w:val="fr-FR" w:eastAsia="en-US"/>
    </w:rPr>
  </w:style>
  <w:style w:type="paragraph" w:styleId="CommentSubject">
    <w:name w:val="annotation subject"/>
    <w:basedOn w:val="CommentText"/>
    <w:next w:val="CommentText"/>
    <w:link w:val="CommentSubjectChar"/>
    <w:uiPriority w:val="99"/>
    <w:semiHidden/>
    <w:unhideWhenUsed/>
    <w:rsid w:val="00565512"/>
    <w:rPr>
      <w:b/>
      <w:bCs/>
    </w:rPr>
  </w:style>
  <w:style w:type="character" w:customStyle="1" w:styleId="CommentSubjectChar">
    <w:name w:val="Comment Subject Char"/>
    <w:basedOn w:val="CommentTextChar"/>
    <w:link w:val="CommentSubject"/>
    <w:uiPriority w:val="99"/>
    <w:semiHidden/>
    <w:rsid w:val="00565512"/>
    <w:rPr>
      <w:rFonts w:ascii="Cambria" w:eastAsia="Cambria" w:hAnsi="Cambria"/>
      <w:b/>
      <w:bC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AE"/>
    <w:pPr>
      <w:spacing w:after="200"/>
    </w:pPr>
    <w:rPr>
      <w:rFonts w:ascii="Cambria" w:eastAsia="Cambria" w:hAnsi="Cambria"/>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2BAE"/>
    <w:pPr>
      <w:tabs>
        <w:tab w:val="center" w:pos="4320"/>
        <w:tab w:val="right" w:pos="8640"/>
      </w:tabs>
    </w:pPr>
  </w:style>
  <w:style w:type="character" w:customStyle="1" w:styleId="FooterChar">
    <w:name w:val="Footer Char"/>
    <w:link w:val="Footer"/>
    <w:rsid w:val="00B72BAE"/>
    <w:rPr>
      <w:rFonts w:ascii="Cambria" w:eastAsia="Cambria" w:hAnsi="Cambria" w:cs="Times New Roman"/>
      <w:sz w:val="24"/>
      <w:szCs w:val="24"/>
      <w:lang w:val="fr-FR"/>
    </w:rPr>
  </w:style>
  <w:style w:type="paragraph" w:styleId="Header">
    <w:name w:val="header"/>
    <w:basedOn w:val="Normal"/>
    <w:link w:val="HeaderChar"/>
    <w:semiHidden/>
    <w:rsid w:val="00B72BAE"/>
    <w:pPr>
      <w:tabs>
        <w:tab w:val="center" w:pos="4320"/>
        <w:tab w:val="right" w:pos="8640"/>
      </w:tabs>
    </w:pPr>
  </w:style>
  <w:style w:type="character" w:customStyle="1" w:styleId="HeaderChar">
    <w:name w:val="Header Char"/>
    <w:link w:val="Header"/>
    <w:semiHidden/>
    <w:rsid w:val="00B72BAE"/>
    <w:rPr>
      <w:rFonts w:ascii="Cambria" w:eastAsia="Cambria" w:hAnsi="Cambria" w:cs="Times New Roman"/>
      <w:sz w:val="24"/>
      <w:szCs w:val="24"/>
      <w:lang w:val="fr-FR"/>
    </w:rPr>
  </w:style>
  <w:style w:type="character" w:styleId="PageNumber">
    <w:name w:val="page number"/>
    <w:basedOn w:val="DefaultParagraphFont"/>
    <w:semiHidden/>
    <w:rsid w:val="00B72BAE"/>
  </w:style>
  <w:style w:type="paragraph" w:styleId="ListParagraph">
    <w:name w:val="List Paragraph"/>
    <w:basedOn w:val="Normal"/>
    <w:uiPriority w:val="34"/>
    <w:qFormat/>
    <w:rsid w:val="00B72BAE"/>
    <w:pPr>
      <w:ind w:left="720"/>
      <w:contextualSpacing/>
    </w:pPr>
  </w:style>
  <w:style w:type="paragraph" w:styleId="BalloonText">
    <w:name w:val="Balloon Text"/>
    <w:basedOn w:val="Normal"/>
    <w:link w:val="BalloonTextChar"/>
    <w:uiPriority w:val="99"/>
    <w:semiHidden/>
    <w:unhideWhenUsed/>
    <w:rsid w:val="0028247A"/>
    <w:pPr>
      <w:spacing w:after="0"/>
    </w:pPr>
    <w:rPr>
      <w:rFonts w:ascii="Tahoma" w:hAnsi="Tahoma" w:cs="Tahoma"/>
      <w:sz w:val="16"/>
      <w:szCs w:val="16"/>
    </w:rPr>
  </w:style>
  <w:style w:type="character" w:customStyle="1" w:styleId="BalloonTextChar">
    <w:name w:val="Balloon Text Char"/>
    <w:link w:val="BalloonText"/>
    <w:uiPriority w:val="99"/>
    <w:semiHidden/>
    <w:rsid w:val="0028247A"/>
    <w:rPr>
      <w:rFonts w:ascii="Tahoma" w:eastAsia="Cambria" w:hAnsi="Tahoma" w:cs="Tahoma"/>
      <w:sz w:val="16"/>
      <w:szCs w:val="16"/>
      <w:lang w:val="fr-FR"/>
    </w:rPr>
  </w:style>
  <w:style w:type="character" w:styleId="Hyperlink">
    <w:name w:val="Hyperlink"/>
    <w:semiHidden/>
    <w:rsid w:val="00474DF1"/>
    <w:rPr>
      <w:color w:val="0000FF"/>
      <w:u w:val="single"/>
    </w:rPr>
  </w:style>
  <w:style w:type="paragraph" w:styleId="FootnoteText">
    <w:name w:val="footnote text"/>
    <w:basedOn w:val="Normal"/>
    <w:link w:val="FootnoteTextChar"/>
    <w:uiPriority w:val="99"/>
    <w:semiHidden/>
    <w:unhideWhenUsed/>
    <w:rsid w:val="00665373"/>
    <w:pPr>
      <w:spacing w:after="0"/>
    </w:pPr>
    <w:rPr>
      <w:sz w:val="20"/>
      <w:szCs w:val="20"/>
    </w:rPr>
  </w:style>
  <w:style w:type="character" w:customStyle="1" w:styleId="FootnoteTextChar">
    <w:name w:val="Footnote Text Char"/>
    <w:basedOn w:val="DefaultParagraphFont"/>
    <w:link w:val="FootnoteText"/>
    <w:uiPriority w:val="99"/>
    <w:semiHidden/>
    <w:rsid w:val="00665373"/>
    <w:rPr>
      <w:rFonts w:ascii="Cambria" w:eastAsia="Cambria" w:hAnsi="Cambria"/>
      <w:lang w:val="fr-FR" w:eastAsia="en-US"/>
    </w:rPr>
  </w:style>
  <w:style w:type="character" w:styleId="FootnoteReference">
    <w:name w:val="footnote reference"/>
    <w:basedOn w:val="DefaultParagraphFont"/>
    <w:uiPriority w:val="99"/>
    <w:semiHidden/>
    <w:unhideWhenUsed/>
    <w:rsid w:val="00665373"/>
    <w:rPr>
      <w:vertAlign w:val="superscript"/>
    </w:rPr>
  </w:style>
  <w:style w:type="character" w:styleId="CommentReference">
    <w:name w:val="annotation reference"/>
    <w:basedOn w:val="DefaultParagraphFont"/>
    <w:uiPriority w:val="99"/>
    <w:semiHidden/>
    <w:unhideWhenUsed/>
    <w:rsid w:val="00565512"/>
    <w:rPr>
      <w:sz w:val="16"/>
      <w:szCs w:val="16"/>
    </w:rPr>
  </w:style>
  <w:style w:type="paragraph" w:styleId="CommentText">
    <w:name w:val="annotation text"/>
    <w:basedOn w:val="Normal"/>
    <w:link w:val="CommentTextChar"/>
    <w:uiPriority w:val="99"/>
    <w:semiHidden/>
    <w:unhideWhenUsed/>
    <w:rsid w:val="00565512"/>
    <w:rPr>
      <w:sz w:val="20"/>
      <w:szCs w:val="20"/>
    </w:rPr>
  </w:style>
  <w:style w:type="character" w:customStyle="1" w:styleId="CommentTextChar">
    <w:name w:val="Comment Text Char"/>
    <w:basedOn w:val="DefaultParagraphFont"/>
    <w:link w:val="CommentText"/>
    <w:uiPriority w:val="99"/>
    <w:semiHidden/>
    <w:rsid w:val="00565512"/>
    <w:rPr>
      <w:rFonts w:ascii="Cambria" w:eastAsia="Cambria" w:hAnsi="Cambria"/>
      <w:lang w:val="fr-FR" w:eastAsia="en-US"/>
    </w:rPr>
  </w:style>
  <w:style w:type="paragraph" w:styleId="CommentSubject">
    <w:name w:val="annotation subject"/>
    <w:basedOn w:val="CommentText"/>
    <w:next w:val="CommentText"/>
    <w:link w:val="CommentSubjectChar"/>
    <w:uiPriority w:val="99"/>
    <w:semiHidden/>
    <w:unhideWhenUsed/>
    <w:rsid w:val="00565512"/>
    <w:rPr>
      <w:b/>
      <w:bCs/>
    </w:rPr>
  </w:style>
  <w:style w:type="character" w:customStyle="1" w:styleId="CommentSubjectChar">
    <w:name w:val="Comment Subject Char"/>
    <w:basedOn w:val="CommentTextChar"/>
    <w:link w:val="CommentSubject"/>
    <w:uiPriority w:val="99"/>
    <w:semiHidden/>
    <w:rsid w:val="00565512"/>
    <w:rPr>
      <w:rFonts w:ascii="Cambria" w:eastAsia="Cambria" w:hAnsi="Cambria"/>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eceurope.org/open-letter/" TargetMode="External"/><Relationship Id="rId1" Type="http://schemas.openxmlformats.org/officeDocument/2006/relationships/hyperlink" Target="https://circabc.europa.eu/faces/jsp/extension/wai/navigation/container.j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AA%20Models\CE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7DAB-8E81-49CE-B6D4-EAA43149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 Header</Template>
  <TotalTime>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Frank-Dieter</dc:creator>
  <cp:lastModifiedBy>Frank-Dieter</cp:lastModifiedBy>
  <cp:revision>2</cp:revision>
  <cp:lastPrinted>2016-07-22T08:34:00Z</cp:lastPrinted>
  <dcterms:created xsi:type="dcterms:W3CDTF">2016-07-25T09:15:00Z</dcterms:created>
  <dcterms:modified xsi:type="dcterms:W3CDTF">2016-07-25T09:15:00Z</dcterms:modified>
</cp:coreProperties>
</file>