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8D" w:rsidRPr="0053734A" w:rsidRDefault="003F22B2" w:rsidP="003F22B2">
      <w:pPr>
        <w:spacing w:after="0" w:line="240" w:lineRule="auto"/>
        <w:rPr>
          <w:b/>
          <w:color w:val="000000" w:themeColor="text1"/>
          <w:sz w:val="24"/>
          <w:lang w:val="en-GB"/>
        </w:rPr>
      </w:pPr>
      <w:bookmarkStart w:id="0" w:name="_GoBack"/>
      <w:bookmarkEnd w:id="0"/>
      <w:r w:rsidRPr="0053734A">
        <w:rPr>
          <w:b/>
          <w:noProof/>
          <w:color w:val="000000" w:themeColor="text1"/>
          <w:sz w:val="24"/>
          <w:lang w:val="en-US"/>
        </w:rPr>
        <w:drawing>
          <wp:anchor distT="0" distB="0" distL="114300" distR="114300" simplePos="0" relativeHeight="251658240" behindDoc="0" locked="0" layoutInCell="1" allowOverlap="1" wp14:anchorId="3CA95695" wp14:editId="476B56FD">
            <wp:simplePos x="718820" y="539750"/>
            <wp:positionH relativeFrom="margin">
              <wp:align>right</wp:align>
            </wp:positionH>
            <wp:positionV relativeFrom="margin">
              <wp:align>top</wp:align>
            </wp:positionV>
            <wp:extent cx="2654912" cy="1116000"/>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europe_logo.png"/>
                    <pic:cNvPicPr/>
                  </pic:nvPicPr>
                  <pic:blipFill rotWithShape="1">
                    <a:blip r:embed="rId8">
                      <a:extLst>
                        <a:ext uri="{28A0092B-C50C-407E-A947-70E740481C1C}">
                          <a14:useLocalDpi xmlns:a14="http://schemas.microsoft.com/office/drawing/2010/main" val="0"/>
                        </a:ext>
                      </a:extLst>
                    </a:blip>
                    <a:srcRect t="7299"/>
                    <a:stretch/>
                  </pic:blipFill>
                  <pic:spPr bwMode="auto">
                    <a:xfrm>
                      <a:off x="0" y="0"/>
                      <a:ext cx="2654912"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328D" w:rsidRPr="0053734A" w:rsidRDefault="008B328D" w:rsidP="008B328D">
      <w:pPr>
        <w:spacing w:after="0" w:line="240" w:lineRule="auto"/>
        <w:jc w:val="center"/>
        <w:rPr>
          <w:color w:val="000000" w:themeColor="text1"/>
          <w:sz w:val="24"/>
          <w:lang w:val="en-GB"/>
        </w:rPr>
      </w:pPr>
    </w:p>
    <w:p w:rsidR="003F22B2" w:rsidRPr="0053734A" w:rsidRDefault="003F22B2" w:rsidP="0036318C">
      <w:pPr>
        <w:spacing w:after="0" w:line="240" w:lineRule="auto"/>
        <w:jc w:val="both"/>
        <w:rPr>
          <w:i/>
          <w:color w:val="000000" w:themeColor="text1"/>
          <w:sz w:val="24"/>
          <w:lang w:val="en-GB"/>
        </w:rPr>
      </w:pPr>
    </w:p>
    <w:p w:rsidR="003F22B2" w:rsidRPr="0053734A" w:rsidRDefault="003F22B2" w:rsidP="0036318C">
      <w:pPr>
        <w:spacing w:after="0" w:line="240" w:lineRule="auto"/>
        <w:jc w:val="both"/>
        <w:rPr>
          <w:i/>
          <w:color w:val="000000" w:themeColor="text1"/>
          <w:sz w:val="24"/>
          <w:lang w:val="en-GB"/>
        </w:rPr>
      </w:pPr>
    </w:p>
    <w:p w:rsidR="003F22B2" w:rsidRPr="0053734A" w:rsidRDefault="003F22B2" w:rsidP="0036318C">
      <w:pPr>
        <w:spacing w:after="0" w:line="240" w:lineRule="auto"/>
        <w:jc w:val="both"/>
        <w:rPr>
          <w:i/>
          <w:color w:val="000000" w:themeColor="text1"/>
          <w:sz w:val="24"/>
          <w:lang w:val="en-GB"/>
        </w:rPr>
      </w:pPr>
    </w:p>
    <w:p w:rsidR="003F22B2" w:rsidRPr="0053734A" w:rsidRDefault="003F22B2" w:rsidP="0036318C">
      <w:pPr>
        <w:spacing w:after="0" w:line="240" w:lineRule="auto"/>
        <w:jc w:val="both"/>
        <w:rPr>
          <w:i/>
          <w:color w:val="000000" w:themeColor="text1"/>
          <w:sz w:val="24"/>
          <w:lang w:val="en-GB"/>
        </w:rPr>
      </w:pPr>
    </w:p>
    <w:p w:rsidR="00E3260E" w:rsidRPr="0053734A" w:rsidRDefault="00E3260E" w:rsidP="0036318C">
      <w:pPr>
        <w:spacing w:after="0" w:line="240" w:lineRule="auto"/>
        <w:jc w:val="both"/>
        <w:rPr>
          <w:i/>
          <w:color w:val="000000" w:themeColor="text1"/>
          <w:sz w:val="24"/>
          <w:lang w:val="en-GB"/>
        </w:rPr>
      </w:pPr>
    </w:p>
    <w:p w:rsidR="00E3260E" w:rsidRPr="0053734A" w:rsidRDefault="00E3260E" w:rsidP="0036318C">
      <w:pPr>
        <w:spacing w:after="0" w:line="240" w:lineRule="auto"/>
        <w:jc w:val="both"/>
        <w:rPr>
          <w:i/>
          <w:color w:val="000000" w:themeColor="text1"/>
          <w:sz w:val="24"/>
          <w:lang w:val="en-GB"/>
        </w:rPr>
      </w:pPr>
    </w:p>
    <w:p w:rsidR="008B328D" w:rsidRPr="0053734A" w:rsidRDefault="008B328D" w:rsidP="0036318C">
      <w:pPr>
        <w:spacing w:after="0" w:line="240" w:lineRule="auto"/>
        <w:jc w:val="both"/>
        <w:rPr>
          <w:i/>
          <w:color w:val="000000" w:themeColor="text1"/>
          <w:sz w:val="24"/>
          <w:lang w:val="en-GB"/>
        </w:rPr>
      </w:pPr>
      <w:r w:rsidRPr="0053734A">
        <w:rPr>
          <w:i/>
          <w:color w:val="000000" w:themeColor="text1"/>
          <w:sz w:val="24"/>
          <w:lang w:val="en-GB"/>
        </w:rPr>
        <w:t>The participant</w:t>
      </w:r>
      <w:r w:rsidR="004B077A" w:rsidRPr="0053734A">
        <w:rPr>
          <w:i/>
          <w:color w:val="000000" w:themeColor="text1"/>
          <w:sz w:val="24"/>
          <w:lang w:val="en-GB"/>
        </w:rPr>
        <w:t>s of the ecumenical Conference ‘</w:t>
      </w:r>
      <w:r w:rsidRPr="0053734A">
        <w:rPr>
          <w:i/>
          <w:color w:val="000000" w:themeColor="text1"/>
          <w:sz w:val="24"/>
          <w:lang w:val="en-GB"/>
        </w:rPr>
        <w:t>Places of Worship and Religious Sites in Europe and the Middle East</w:t>
      </w:r>
      <w:r w:rsidR="004B077A" w:rsidRPr="0053734A">
        <w:rPr>
          <w:i/>
          <w:color w:val="000000" w:themeColor="text1"/>
          <w:sz w:val="24"/>
          <w:lang w:val="en-GB"/>
        </w:rPr>
        <w:t>’</w:t>
      </w:r>
      <w:r w:rsidR="00FF207C" w:rsidRPr="0053734A">
        <w:rPr>
          <w:rStyle w:val="EndnoteReference"/>
          <w:i/>
          <w:color w:val="000000" w:themeColor="text1"/>
          <w:sz w:val="24"/>
          <w:lang w:val="en-GB"/>
        </w:rPr>
        <w:endnoteReference w:id="1"/>
      </w:r>
      <w:r w:rsidRPr="0053734A">
        <w:rPr>
          <w:i/>
          <w:color w:val="000000" w:themeColor="text1"/>
          <w:sz w:val="24"/>
          <w:lang w:val="en-GB"/>
        </w:rPr>
        <w:t>, organised by the Conference of European Churches</w:t>
      </w:r>
      <w:r w:rsidR="00FF207C" w:rsidRPr="0053734A">
        <w:rPr>
          <w:rStyle w:val="EndnoteReference"/>
          <w:i/>
          <w:color w:val="000000" w:themeColor="text1"/>
          <w:sz w:val="24"/>
          <w:lang w:val="en-GB"/>
        </w:rPr>
        <w:endnoteReference w:id="2"/>
      </w:r>
      <w:r w:rsidRPr="0053734A">
        <w:rPr>
          <w:i/>
          <w:color w:val="000000" w:themeColor="text1"/>
          <w:sz w:val="24"/>
          <w:lang w:val="en-GB"/>
        </w:rPr>
        <w:t xml:space="preserve"> </w:t>
      </w:r>
      <w:r w:rsidR="002F677A" w:rsidRPr="0053734A">
        <w:rPr>
          <w:i/>
          <w:color w:val="000000" w:themeColor="text1"/>
          <w:sz w:val="24"/>
          <w:lang w:val="en-GB"/>
        </w:rPr>
        <w:t xml:space="preserve">and held </w:t>
      </w:r>
      <w:r w:rsidRPr="0053734A">
        <w:rPr>
          <w:i/>
          <w:color w:val="000000" w:themeColor="text1"/>
          <w:sz w:val="24"/>
          <w:lang w:val="en-GB"/>
        </w:rPr>
        <w:t xml:space="preserve">under the auspices of His Beatitude, </w:t>
      </w:r>
      <w:r w:rsidR="0036318C" w:rsidRPr="0053734A">
        <w:rPr>
          <w:i/>
          <w:color w:val="000000" w:themeColor="text1"/>
          <w:sz w:val="24"/>
          <w:lang w:val="en-GB"/>
        </w:rPr>
        <w:t xml:space="preserve">Archbishop Chrysostomos II of Nova Justiniana and all Cyprus, adopt the following </w:t>
      </w:r>
    </w:p>
    <w:p w:rsidR="007E6BC7" w:rsidRPr="0053734A" w:rsidRDefault="007E6BC7" w:rsidP="0036318C">
      <w:pPr>
        <w:spacing w:after="0" w:line="240" w:lineRule="auto"/>
        <w:jc w:val="both"/>
        <w:rPr>
          <w:color w:val="000000" w:themeColor="text1"/>
          <w:sz w:val="24"/>
          <w:lang w:val="en-GB"/>
        </w:rPr>
      </w:pPr>
    </w:p>
    <w:p w:rsidR="00E3260E" w:rsidRPr="0053734A" w:rsidRDefault="00E3260E" w:rsidP="0036318C">
      <w:pPr>
        <w:spacing w:after="0" w:line="240" w:lineRule="auto"/>
        <w:jc w:val="both"/>
        <w:rPr>
          <w:color w:val="000000" w:themeColor="text1"/>
          <w:sz w:val="24"/>
          <w:lang w:val="en-GB"/>
        </w:rPr>
      </w:pPr>
    </w:p>
    <w:p w:rsidR="0036318C" w:rsidRPr="0053734A" w:rsidRDefault="0036318C" w:rsidP="0036318C">
      <w:pPr>
        <w:spacing w:after="0" w:line="240" w:lineRule="auto"/>
        <w:jc w:val="center"/>
        <w:rPr>
          <w:b/>
          <w:color w:val="000000" w:themeColor="text1"/>
          <w:sz w:val="28"/>
          <w:lang w:val="en-GB"/>
        </w:rPr>
      </w:pPr>
      <w:r w:rsidRPr="0053734A">
        <w:rPr>
          <w:b/>
          <w:color w:val="000000" w:themeColor="text1"/>
          <w:sz w:val="28"/>
          <w:lang w:val="en-GB"/>
        </w:rPr>
        <w:t xml:space="preserve">Communiqué on the legal status und protection </w:t>
      </w:r>
    </w:p>
    <w:p w:rsidR="0036318C" w:rsidRPr="0053734A" w:rsidRDefault="004B077A" w:rsidP="0036318C">
      <w:pPr>
        <w:spacing w:after="0" w:line="240" w:lineRule="auto"/>
        <w:jc w:val="center"/>
        <w:rPr>
          <w:b/>
          <w:color w:val="000000" w:themeColor="text1"/>
          <w:sz w:val="28"/>
          <w:lang w:val="en-GB"/>
        </w:rPr>
      </w:pPr>
      <w:r w:rsidRPr="0053734A">
        <w:rPr>
          <w:b/>
          <w:color w:val="000000" w:themeColor="text1"/>
          <w:sz w:val="28"/>
          <w:lang w:val="en-GB"/>
        </w:rPr>
        <w:t>of ‘places of worship’ and ‘holy sites’</w:t>
      </w:r>
    </w:p>
    <w:p w:rsidR="00192A87" w:rsidRPr="0053734A" w:rsidRDefault="00192A87" w:rsidP="0036318C">
      <w:pPr>
        <w:spacing w:after="0" w:line="240" w:lineRule="auto"/>
        <w:jc w:val="both"/>
        <w:rPr>
          <w:color w:val="000000" w:themeColor="text1"/>
          <w:sz w:val="24"/>
          <w:lang w:val="en-GB"/>
        </w:rPr>
      </w:pPr>
    </w:p>
    <w:p w:rsidR="00E3260E" w:rsidRPr="0053734A" w:rsidRDefault="00E3260E" w:rsidP="0036318C">
      <w:pPr>
        <w:spacing w:after="0" w:line="240" w:lineRule="auto"/>
        <w:jc w:val="both"/>
        <w:rPr>
          <w:color w:val="000000" w:themeColor="text1"/>
          <w:sz w:val="24"/>
          <w:lang w:val="en-GB"/>
        </w:rPr>
      </w:pPr>
    </w:p>
    <w:p w:rsidR="00F8490A" w:rsidRPr="0053734A" w:rsidRDefault="00094913" w:rsidP="00094913">
      <w:pPr>
        <w:spacing w:after="0" w:line="240" w:lineRule="auto"/>
        <w:jc w:val="both"/>
        <w:rPr>
          <w:color w:val="000000" w:themeColor="text1"/>
          <w:sz w:val="24"/>
          <w:lang w:val="en-GB"/>
        </w:rPr>
      </w:pPr>
      <w:r w:rsidRPr="0053734A">
        <w:rPr>
          <w:color w:val="000000" w:themeColor="text1"/>
          <w:sz w:val="24"/>
          <w:lang w:val="en-GB"/>
        </w:rPr>
        <w:t xml:space="preserve">The participants, </w:t>
      </w:r>
    </w:p>
    <w:p w:rsidR="00FF207C" w:rsidRDefault="00FF207C" w:rsidP="00FF207C">
      <w:pPr>
        <w:pStyle w:val="ListParagraph"/>
        <w:numPr>
          <w:ilvl w:val="0"/>
          <w:numId w:val="6"/>
        </w:numPr>
        <w:spacing w:after="0" w:line="240" w:lineRule="auto"/>
        <w:jc w:val="both"/>
        <w:rPr>
          <w:color w:val="000000" w:themeColor="text1"/>
          <w:sz w:val="24"/>
          <w:lang w:val="en-GB"/>
        </w:rPr>
      </w:pPr>
      <w:r w:rsidRPr="0053734A">
        <w:rPr>
          <w:color w:val="000000" w:themeColor="text1"/>
          <w:sz w:val="24"/>
          <w:lang w:val="en-GB"/>
        </w:rPr>
        <w:t>welcoming recent developments</w:t>
      </w:r>
      <w:r w:rsidRPr="0053734A">
        <w:rPr>
          <w:rStyle w:val="EndnoteReference"/>
          <w:color w:val="000000" w:themeColor="text1"/>
          <w:sz w:val="24"/>
          <w:lang w:val="en-GB"/>
        </w:rPr>
        <w:endnoteReference w:id="3"/>
      </w:r>
      <w:r w:rsidRPr="0053734A">
        <w:rPr>
          <w:color w:val="000000" w:themeColor="text1"/>
          <w:sz w:val="24"/>
          <w:lang w:val="en-GB"/>
        </w:rPr>
        <w:t xml:space="preserve"> indicating an increased public </w:t>
      </w:r>
      <w:r w:rsidR="004B077A" w:rsidRPr="0053734A">
        <w:rPr>
          <w:color w:val="000000" w:themeColor="text1"/>
          <w:sz w:val="24"/>
          <w:lang w:val="en-GB"/>
        </w:rPr>
        <w:t>awareness of the importance of ‘</w:t>
      </w:r>
      <w:r w:rsidRPr="0053734A">
        <w:rPr>
          <w:color w:val="000000" w:themeColor="text1"/>
          <w:sz w:val="24"/>
          <w:lang w:val="en-GB"/>
        </w:rPr>
        <w:t>places</w:t>
      </w:r>
      <w:r w:rsidR="004B077A" w:rsidRPr="0053734A">
        <w:rPr>
          <w:color w:val="000000" w:themeColor="text1"/>
          <w:sz w:val="24"/>
          <w:lang w:val="en-GB"/>
        </w:rPr>
        <w:t xml:space="preserve"> of worship’ and ‘holy sites’</w:t>
      </w:r>
      <w:r w:rsidR="00353F26" w:rsidRPr="0053734A">
        <w:rPr>
          <w:color w:val="000000" w:themeColor="text1"/>
          <w:sz w:val="24"/>
          <w:lang w:val="en-GB"/>
        </w:rPr>
        <w:t xml:space="preserve"> as an</w:t>
      </w:r>
      <w:r w:rsidR="00C63C45" w:rsidRPr="0053734A">
        <w:rPr>
          <w:color w:val="000000" w:themeColor="text1"/>
          <w:sz w:val="24"/>
          <w:lang w:val="en-GB"/>
        </w:rPr>
        <w:t xml:space="preserve"> integral </w:t>
      </w:r>
      <w:r w:rsidRPr="0053734A">
        <w:rPr>
          <w:color w:val="000000" w:themeColor="text1"/>
          <w:sz w:val="24"/>
          <w:lang w:val="en-GB"/>
        </w:rPr>
        <w:t>part</w:t>
      </w:r>
      <w:r w:rsidR="00C63C45" w:rsidRPr="0053734A">
        <w:rPr>
          <w:rStyle w:val="EndnoteReference"/>
          <w:color w:val="000000" w:themeColor="text1"/>
          <w:sz w:val="24"/>
          <w:lang w:val="en-GB"/>
        </w:rPr>
        <w:endnoteReference w:id="4"/>
      </w:r>
      <w:r w:rsidRPr="0053734A">
        <w:rPr>
          <w:color w:val="000000" w:themeColor="text1"/>
          <w:sz w:val="24"/>
          <w:lang w:val="en-GB"/>
        </w:rPr>
        <w:t xml:space="preserve"> of Freedom of Religion </w:t>
      </w:r>
      <w:r w:rsidR="007503B7" w:rsidRPr="0053734A">
        <w:rPr>
          <w:color w:val="000000" w:themeColor="text1"/>
          <w:sz w:val="24"/>
          <w:lang w:val="en-GB"/>
        </w:rPr>
        <w:t>or</w:t>
      </w:r>
      <w:r w:rsidRPr="0053734A">
        <w:rPr>
          <w:color w:val="000000" w:themeColor="text1"/>
          <w:sz w:val="24"/>
          <w:lang w:val="en-GB"/>
        </w:rPr>
        <w:t xml:space="preserve"> Belief</w:t>
      </w:r>
      <w:r w:rsidR="00CA1D6F" w:rsidRPr="0053734A">
        <w:rPr>
          <w:rStyle w:val="EndnoteReference"/>
          <w:color w:val="000000" w:themeColor="text1"/>
          <w:sz w:val="24"/>
          <w:lang w:val="en-GB"/>
        </w:rPr>
        <w:endnoteReference w:id="5"/>
      </w:r>
      <w:r w:rsidRPr="0053734A">
        <w:rPr>
          <w:color w:val="000000" w:themeColor="text1"/>
          <w:sz w:val="24"/>
          <w:lang w:val="en-GB"/>
        </w:rPr>
        <w:t xml:space="preserve"> as well as of their relevance for </w:t>
      </w:r>
      <w:r w:rsidR="00AF4760">
        <w:rPr>
          <w:color w:val="000000" w:themeColor="text1"/>
          <w:sz w:val="24"/>
          <w:lang w:val="en-GB"/>
        </w:rPr>
        <w:t xml:space="preserve">the </w:t>
      </w:r>
      <w:r w:rsidRPr="0053734A">
        <w:rPr>
          <w:color w:val="000000" w:themeColor="text1"/>
          <w:sz w:val="24"/>
          <w:lang w:val="en-GB"/>
        </w:rPr>
        <w:t>common cultural heritage</w:t>
      </w:r>
      <w:r w:rsidR="00AF4760">
        <w:rPr>
          <w:color w:val="000000" w:themeColor="text1"/>
          <w:sz w:val="24"/>
          <w:lang w:val="en-GB"/>
        </w:rPr>
        <w:t xml:space="preserve"> of humanity,</w:t>
      </w:r>
    </w:p>
    <w:p w:rsidR="005D058E" w:rsidRDefault="005D058E" w:rsidP="005D058E">
      <w:pPr>
        <w:pStyle w:val="ListParagraph"/>
        <w:numPr>
          <w:ilvl w:val="0"/>
          <w:numId w:val="6"/>
        </w:numPr>
        <w:spacing w:after="0" w:line="240" w:lineRule="auto"/>
        <w:jc w:val="both"/>
        <w:rPr>
          <w:color w:val="000000" w:themeColor="text1"/>
          <w:sz w:val="24"/>
          <w:lang w:val="en-GB"/>
        </w:rPr>
      </w:pPr>
      <w:r w:rsidRPr="0053734A">
        <w:rPr>
          <w:color w:val="000000" w:themeColor="text1"/>
          <w:sz w:val="24"/>
          <w:lang w:val="en-GB"/>
        </w:rPr>
        <w:t>aware that such sites form an integral part of the fibre constituting individual personality and historic and cultural identity of peoples, wherefore their proper maintenance and use contributes to cohesion, whereas their desecration or destruction can cause severe trauma,</w:t>
      </w:r>
    </w:p>
    <w:p w:rsidR="006804FB" w:rsidRPr="0053734A" w:rsidRDefault="006804FB" w:rsidP="005D058E">
      <w:pPr>
        <w:pStyle w:val="ListParagraph"/>
        <w:numPr>
          <w:ilvl w:val="0"/>
          <w:numId w:val="6"/>
        </w:numPr>
        <w:spacing w:after="0" w:line="240" w:lineRule="auto"/>
        <w:jc w:val="both"/>
        <w:rPr>
          <w:color w:val="000000" w:themeColor="text1"/>
          <w:sz w:val="24"/>
          <w:lang w:val="en-GB"/>
        </w:rPr>
      </w:pPr>
      <w:r>
        <w:rPr>
          <w:color w:val="000000" w:themeColor="text1"/>
          <w:sz w:val="24"/>
          <w:lang w:val="en-GB"/>
        </w:rPr>
        <w:t xml:space="preserve">asserting that the relevance of sites with a religious or spiritual character cannot be reduced to their historic, artistic or cultural significance, but are part of the living memory and testimony of faith, </w:t>
      </w:r>
    </w:p>
    <w:p w:rsidR="005D058E" w:rsidRDefault="005D058E" w:rsidP="00FF207C">
      <w:pPr>
        <w:pStyle w:val="ListParagraph"/>
        <w:numPr>
          <w:ilvl w:val="0"/>
          <w:numId w:val="6"/>
        </w:numPr>
        <w:spacing w:after="0" w:line="240" w:lineRule="auto"/>
        <w:jc w:val="both"/>
        <w:rPr>
          <w:color w:val="000000" w:themeColor="text1"/>
          <w:sz w:val="24"/>
          <w:lang w:val="en-GB"/>
        </w:rPr>
      </w:pPr>
      <w:r>
        <w:rPr>
          <w:color w:val="000000" w:themeColor="text1"/>
          <w:sz w:val="24"/>
          <w:lang w:val="en-GB"/>
        </w:rPr>
        <w:t xml:space="preserve">repenting the failure of Christians in our common history to respect and protect religious sites of other believers, </w:t>
      </w:r>
    </w:p>
    <w:p w:rsidR="005D058E" w:rsidRPr="0053734A" w:rsidRDefault="005D058E" w:rsidP="00FF207C">
      <w:pPr>
        <w:pStyle w:val="ListParagraph"/>
        <w:numPr>
          <w:ilvl w:val="0"/>
          <w:numId w:val="6"/>
        </w:numPr>
        <w:spacing w:after="0" w:line="240" w:lineRule="auto"/>
        <w:jc w:val="both"/>
        <w:rPr>
          <w:color w:val="000000" w:themeColor="text1"/>
          <w:sz w:val="24"/>
          <w:lang w:val="en-GB"/>
        </w:rPr>
      </w:pPr>
      <w:r>
        <w:rPr>
          <w:color w:val="000000" w:themeColor="text1"/>
          <w:sz w:val="24"/>
          <w:lang w:val="en-GB"/>
        </w:rPr>
        <w:t xml:space="preserve">calling on solidarity with Christians and other believers suffering from intolerance, conflict and war that eventually causes damage to such </w:t>
      </w:r>
      <w:r w:rsidR="00AF4760">
        <w:rPr>
          <w:color w:val="000000" w:themeColor="text1"/>
          <w:sz w:val="24"/>
          <w:lang w:val="en-GB"/>
        </w:rPr>
        <w:t>sites,</w:t>
      </w:r>
    </w:p>
    <w:p w:rsidR="00F8490A" w:rsidRPr="0053734A" w:rsidRDefault="00A94897" w:rsidP="00F8490A">
      <w:pPr>
        <w:pStyle w:val="ListParagraph"/>
        <w:numPr>
          <w:ilvl w:val="0"/>
          <w:numId w:val="6"/>
        </w:numPr>
        <w:spacing w:after="0" w:line="240" w:lineRule="auto"/>
        <w:jc w:val="both"/>
        <w:rPr>
          <w:color w:val="000000" w:themeColor="text1"/>
          <w:sz w:val="24"/>
          <w:lang w:val="en-GB"/>
        </w:rPr>
      </w:pPr>
      <w:r>
        <w:rPr>
          <w:color w:val="000000" w:themeColor="text1"/>
          <w:sz w:val="24"/>
          <w:lang w:val="en-GB"/>
        </w:rPr>
        <w:t xml:space="preserve">and </w:t>
      </w:r>
      <w:r w:rsidR="00FF207C" w:rsidRPr="0053734A">
        <w:rPr>
          <w:color w:val="000000" w:themeColor="text1"/>
          <w:sz w:val="24"/>
          <w:lang w:val="en-GB"/>
        </w:rPr>
        <w:t>deeply concerned</w:t>
      </w:r>
      <w:r w:rsidR="00F8490A" w:rsidRPr="0053734A">
        <w:rPr>
          <w:color w:val="000000" w:themeColor="text1"/>
          <w:sz w:val="24"/>
          <w:lang w:val="en-GB"/>
        </w:rPr>
        <w:t xml:space="preserve"> that many sites of religious or spiritual as well as of historic and cultural significance have over the past decades </w:t>
      </w:r>
      <w:r w:rsidR="006D23A7" w:rsidRPr="0053734A">
        <w:rPr>
          <w:color w:val="000000" w:themeColor="text1"/>
          <w:sz w:val="24"/>
          <w:lang w:val="en-GB"/>
        </w:rPr>
        <w:t xml:space="preserve">become </w:t>
      </w:r>
      <w:r w:rsidR="008D2188">
        <w:rPr>
          <w:color w:val="000000" w:themeColor="text1"/>
          <w:sz w:val="24"/>
          <w:lang w:val="en-GB"/>
        </w:rPr>
        <w:t xml:space="preserve">again </w:t>
      </w:r>
      <w:r w:rsidR="006D23A7" w:rsidRPr="0053734A">
        <w:rPr>
          <w:color w:val="000000" w:themeColor="text1"/>
          <w:sz w:val="24"/>
          <w:lang w:val="en-GB"/>
        </w:rPr>
        <w:t xml:space="preserve">focal points of violence and intolerance and/or </w:t>
      </w:r>
      <w:r w:rsidR="00F8490A" w:rsidRPr="0053734A">
        <w:rPr>
          <w:color w:val="000000" w:themeColor="text1"/>
          <w:sz w:val="24"/>
          <w:lang w:val="en-GB"/>
        </w:rPr>
        <w:t>suffered from hostile acts, especially but not exclusively in conflicts and wars, both from states and from third parties,</w:t>
      </w:r>
    </w:p>
    <w:p w:rsidR="00795CBF" w:rsidRPr="0053734A" w:rsidRDefault="00795CBF" w:rsidP="00094913">
      <w:pPr>
        <w:spacing w:after="0" w:line="240" w:lineRule="auto"/>
        <w:jc w:val="both"/>
        <w:rPr>
          <w:color w:val="000000" w:themeColor="text1"/>
          <w:sz w:val="18"/>
          <w:lang w:val="en-GB"/>
        </w:rPr>
      </w:pPr>
    </w:p>
    <w:p w:rsidR="00EA648D" w:rsidRPr="0053734A" w:rsidRDefault="00EA648D" w:rsidP="005E63B5">
      <w:pPr>
        <w:pStyle w:val="ListParagraph"/>
        <w:numPr>
          <w:ilvl w:val="0"/>
          <w:numId w:val="1"/>
        </w:numPr>
        <w:spacing w:after="0" w:line="240" w:lineRule="auto"/>
        <w:ind w:left="567" w:hanging="567"/>
        <w:jc w:val="both"/>
        <w:rPr>
          <w:color w:val="000000" w:themeColor="text1"/>
          <w:sz w:val="24"/>
          <w:lang w:val="en-GB"/>
        </w:rPr>
      </w:pPr>
      <w:r w:rsidRPr="0053734A">
        <w:rPr>
          <w:color w:val="000000" w:themeColor="text1"/>
          <w:sz w:val="24"/>
          <w:lang w:val="en-GB"/>
        </w:rPr>
        <w:t>emphasise that any building</w:t>
      </w:r>
      <w:r w:rsidR="00B45E08" w:rsidRPr="0053734A">
        <w:rPr>
          <w:color w:val="000000" w:themeColor="text1"/>
          <w:sz w:val="24"/>
          <w:lang w:val="en-GB"/>
        </w:rPr>
        <w:t xml:space="preserve"> (including, inter alia, churches, chapels, monasteries, synagogues, temples and mosques)</w:t>
      </w:r>
      <w:r w:rsidRPr="0053734A">
        <w:rPr>
          <w:color w:val="000000" w:themeColor="text1"/>
          <w:sz w:val="24"/>
          <w:lang w:val="en-GB"/>
        </w:rPr>
        <w:t xml:space="preserve"> or </w:t>
      </w:r>
      <w:r w:rsidR="00007144" w:rsidRPr="0053734A">
        <w:rPr>
          <w:color w:val="000000" w:themeColor="text1"/>
          <w:sz w:val="24"/>
          <w:lang w:val="en-GB"/>
        </w:rPr>
        <w:t>site</w:t>
      </w:r>
      <w:r w:rsidRPr="0053734A">
        <w:rPr>
          <w:color w:val="000000" w:themeColor="text1"/>
          <w:sz w:val="24"/>
          <w:lang w:val="en-GB"/>
        </w:rPr>
        <w:t xml:space="preserve"> </w:t>
      </w:r>
      <w:r w:rsidR="00007144" w:rsidRPr="0053734A">
        <w:rPr>
          <w:color w:val="000000" w:themeColor="text1"/>
          <w:sz w:val="24"/>
          <w:lang w:val="en-GB"/>
        </w:rPr>
        <w:t xml:space="preserve">(including, inter alia, monuments, cemeteries, routes of pilgrimage) </w:t>
      </w:r>
      <w:r w:rsidRPr="0053734A">
        <w:rPr>
          <w:color w:val="000000" w:themeColor="text1"/>
          <w:sz w:val="24"/>
          <w:lang w:val="en-GB"/>
        </w:rPr>
        <w:t>should be regarded as a pla</w:t>
      </w:r>
      <w:r w:rsidR="0011366C" w:rsidRPr="0053734A">
        <w:rPr>
          <w:color w:val="000000" w:themeColor="text1"/>
          <w:sz w:val="24"/>
          <w:lang w:val="en-GB"/>
        </w:rPr>
        <w:t>ce of worship or a holy site,</w:t>
      </w:r>
    </w:p>
    <w:p w:rsidR="001461D5" w:rsidRPr="0053734A" w:rsidRDefault="001461D5" w:rsidP="001461D5">
      <w:pPr>
        <w:pStyle w:val="ListParagraph"/>
        <w:numPr>
          <w:ilvl w:val="0"/>
          <w:numId w:val="4"/>
        </w:numPr>
        <w:spacing w:after="0" w:line="240" w:lineRule="auto"/>
        <w:ind w:left="851" w:hanging="284"/>
        <w:jc w:val="both"/>
        <w:rPr>
          <w:color w:val="000000" w:themeColor="text1"/>
          <w:sz w:val="24"/>
          <w:lang w:val="en-GB"/>
        </w:rPr>
      </w:pPr>
      <w:r w:rsidRPr="0053734A">
        <w:rPr>
          <w:color w:val="000000" w:themeColor="text1"/>
          <w:sz w:val="24"/>
          <w:lang w:val="en-GB"/>
        </w:rPr>
        <w:t>if a religious community can legitimately claim either the right of property or otherwise the right to use of that site for religious rites or similar expressions or manifestations of religion, individually and collectively, and</w:t>
      </w:r>
    </w:p>
    <w:p w:rsidR="00EA648D" w:rsidRPr="0053734A" w:rsidRDefault="0011366C" w:rsidP="005E63B5">
      <w:pPr>
        <w:pStyle w:val="ListParagraph"/>
        <w:numPr>
          <w:ilvl w:val="0"/>
          <w:numId w:val="4"/>
        </w:numPr>
        <w:spacing w:after="0" w:line="240" w:lineRule="auto"/>
        <w:ind w:left="851" w:hanging="284"/>
        <w:jc w:val="both"/>
        <w:rPr>
          <w:color w:val="000000" w:themeColor="text1"/>
          <w:sz w:val="24"/>
          <w:lang w:val="en-GB"/>
        </w:rPr>
      </w:pPr>
      <w:r w:rsidRPr="0053734A">
        <w:rPr>
          <w:color w:val="000000" w:themeColor="text1"/>
          <w:sz w:val="24"/>
          <w:lang w:val="en-GB"/>
        </w:rPr>
        <w:t xml:space="preserve">if it </w:t>
      </w:r>
      <w:r w:rsidR="00EA648D" w:rsidRPr="0053734A">
        <w:rPr>
          <w:color w:val="000000" w:themeColor="text1"/>
          <w:sz w:val="24"/>
          <w:lang w:val="en-GB"/>
        </w:rPr>
        <w:t xml:space="preserve">has been specifically dedicated to </w:t>
      </w:r>
      <w:r w:rsidR="001461D5" w:rsidRPr="0053734A">
        <w:rPr>
          <w:color w:val="000000" w:themeColor="text1"/>
          <w:sz w:val="24"/>
          <w:lang w:val="en-GB"/>
        </w:rPr>
        <w:t>such a purpose,</w:t>
      </w:r>
    </w:p>
    <w:p w:rsidR="0011366C" w:rsidRPr="0053734A" w:rsidRDefault="0011366C" w:rsidP="005E63B5">
      <w:pPr>
        <w:pStyle w:val="ListParagraph"/>
        <w:numPr>
          <w:ilvl w:val="2"/>
          <w:numId w:val="5"/>
        </w:numPr>
        <w:spacing w:after="0" w:line="240" w:lineRule="auto"/>
        <w:ind w:left="1134" w:hanging="283"/>
        <w:jc w:val="both"/>
        <w:rPr>
          <w:color w:val="000000" w:themeColor="text1"/>
          <w:sz w:val="24"/>
          <w:lang w:val="en-GB"/>
        </w:rPr>
      </w:pPr>
      <w:r w:rsidRPr="0053734A">
        <w:rPr>
          <w:color w:val="000000" w:themeColor="text1"/>
          <w:sz w:val="24"/>
          <w:lang w:val="en-GB"/>
        </w:rPr>
        <w:t xml:space="preserve">or has been </w:t>
      </w:r>
      <w:r w:rsidR="00E853B3" w:rsidRPr="0053734A">
        <w:rPr>
          <w:color w:val="000000" w:themeColor="text1"/>
          <w:sz w:val="24"/>
          <w:lang w:val="en-GB"/>
        </w:rPr>
        <w:t xml:space="preserve">traditionally </w:t>
      </w:r>
      <w:r w:rsidRPr="0053734A">
        <w:rPr>
          <w:color w:val="000000" w:themeColor="text1"/>
          <w:sz w:val="24"/>
          <w:lang w:val="en-GB"/>
        </w:rPr>
        <w:t xml:space="preserve">used for </w:t>
      </w:r>
      <w:r w:rsidR="001F2BD8" w:rsidRPr="0053734A">
        <w:rPr>
          <w:color w:val="000000" w:themeColor="text1"/>
          <w:sz w:val="24"/>
          <w:lang w:val="en-GB"/>
        </w:rPr>
        <w:t>such a</w:t>
      </w:r>
      <w:r w:rsidRPr="0053734A">
        <w:rPr>
          <w:color w:val="000000" w:themeColor="text1"/>
          <w:sz w:val="24"/>
          <w:lang w:val="en-GB"/>
        </w:rPr>
        <w:t xml:space="preserve"> purpose over a significant period of time,</w:t>
      </w:r>
    </w:p>
    <w:p w:rsidR="0011366C" w:rsidRPr="0053734A" w:rsidRDefault="0011366C" w:rsidP="001461D5">
      <w:pPr>
        <w:pStyle w:val="ListParagraph"/>
        <w:numPr>
          <w:ilvl w:val="2"/>
          <w:numId w:val="5"/>
        </w:numPr>
        <w:spacing w:after="0" w:line="240" w:lineRule="auto"/>
        <w:ind w:left="1134" w:hanging="283"/>
        <w:jc w:val="both"/>
        <w:rPr>
          <w:color w:val="000000" w:themeColor="text1"/>
          <w:sz w:val="24"/>
          <w:lang w:val="en-GB"/>
        </w:rPr>
      </w:pPr>
      <w:r w:rsidRPr="0053734A">
        <w:rPr>
          <w:color w:val="000000" w:themeColor="text1"/>
          <w:sz w:val="24"/>
          <w:lang w:val="en-GB"/>
        </w:rPr>
        <w:t>or has a specific religious or spiritual meaning attached to it for on</w:t>
      </w:r>
      <w:r w:rsidR="001461D5" w:rsidRPr="0053734A">
        <w:rPr>
          <w:color w:val="000000" w:themeColor="text1"/>
          <w:sz w:val="24"/>
          <w:lang w:val="en-GB"/>
        </w:rPr>
        <w:t>e or more religious communities without prejudice to the property rights of others.</w:t>
      </w:r>
    </w:p>
    <w:p w:rsidR="00A574DB" w:rsidRPr="0053734A" w:rsidRDefault="00A574DB" w:rsidP="00A574DB">
      <w:pPr>
        <w:pStyle w:val="ListParagraph"/>
        <w:spacing w:after="0" w:line="240" w:lineRule="auto"/>
        <w:ind w:left="851"/>
        <w:jc w:val="both"/>
        <w:rPr>
          <w:color w:val="000000" w:themeColor="text1"/>
          <w:sz w:val="18"/>
          <w:lang w:val="en-GB"/>
        </w:rPr>
      </w:pPr>
    </w:p>
    <w:p w:rsidR="009957B7" w:rsidRPr="0053734A" w:rsidRDefault="00A63B17" w:rsidP="00AB2FAF">
      <w:pPr>
        <w:pStyle w:val="ListParagraph"/>
        <w:numPr>
          <w:ilvl w:val="0"/>
          <w:numId w:val="1"/>
        </w:numPr>
        <w:spacing w:after="0" w:line="240" w:lineRule="auto"/>
        <w:ind w:left="567" w:hanging="567"/>
        <w:jc w:val="both"/>
        <w:rPr>
          <w:color w:val="000000" w:themeColor="text1"/>
          <w:sz w:val="24"/>
          <w:lang w:val="en-GB"/>
        </w:rPr>
      </w:pPr>
      <w:r w:rsidRPr="0053734A">
        <w:rPr>
          <w:color w:val="000000" w:themeColor="text1"/>
          <w:sz w:val="24"/>
          <w:lang w:val="en-GB"/>
        </w:rPr>
        <w:t>urge</w:t>
      </w:r>
      <w:r w:rsidR="00DD6F46" w:rsidRPr="0053734A">
        <w:rPr>
          <w:color w:val="000000" w:themeColor="text1"/>
          <w:sz w:val="24"/>
          <w:lang w:val="en-GB"/>
        </w:rPr>
        <w:t xml:space="preserve"> for a </w:t>
      </w:r>
      <w:r w:rsidR="003D4B40" w:rsidRPr="0053734A">
        <w:rPr>
          <w:color w:val="000000" w:themeColor="text1"/>
          <w:sz w:val="24"/>
          <w:lang w:val="en-GB"/>
        </w:rPr>
        <w:t>strong and effective</w:t>
      </w:r>
      <w:r w:rsidR="00DD6F46" w:rsidRPr="0053734A">
        <w:rPr>
          <w:color w:val="000000" w:themeColor="text1"/>
          <w:sz w:val="24"/>
          <w:lang w:val="en-GB"/>
        </w:rPr>
        <w:t xml:space="preserve"> protection of such sites </w:t>
      </w:r>
      <w:r w:rsidR="00356A46" w:rsidRPr="0053734A">
        <w:rPr>
          <w:color w:val="000000" w:themeColor="text1"/>
          <w:sz w:val="24"/>
          <w:lang w:val="en-GB"/>
        </w:rPr>
        <w:t xml:space="preserve">in national as well as in international </w:t>
      </w:r>
      <w:r w:rsidR="007E6BC7" w:rsidRPr="0053734A">
        <w:rPr>
          <w:color w:val="000000" w:themeColor="text1"/>
          <w:sz w:val="24"/>
          <w:lang w:val="en-GB"/>
        </w:rPr>
        <w:t>law</w:t>
      </w:r>
      <w:r w:rsidR="00356A46" w:rsidRPr="0053734A">
        <w:rPr>
          <w:color w:val="000000" w:themeColor="text1"/>
          <w:sz w:val="24"/>
          <w:lang w:val="en-GB"/>
        </w:rPr>
        <w:t xml:space="preserve"> </w:t>
      </w:r>
      <w:r w:rsidR="00DD6F46" w:rsidRPr="0053734A">
        <w:rPr>
          <w:color w:val="000000" w:themeColor="text1"/>
          <w:sz w:val="24"/>
          <w:lang w:val="en-GB"/>
        </w:rPr>
        <w:t xml:space="preserve">from </w:t>
      </w:r>
      <w:r w:rsidR="001403B7" w:rsidRPr="0053734A">
        <w:rPr>
          <w:color w:val="000000" w:themeColor="text1"/>
          <w:sz w:val="24"/>
          <w:lang w:val="en-GB"/>
        </w:rPr>
        <w:t>illegitimate</w:t>
      </w:r>
      <w:r w:rsidR="00DD6F46" w:rsidRPr="0053734A">
        <w:rPr>
          <w:color w:val="000000" w:themeColor="text1"/>
          <w:sz w:val="24"/>
          <w:lang w:val="en-GB"/>
        </w:rPr>
        <w:t xml:space="preserve"> </w:t>
      </w:r>
      <w:r w:rsidR="00DB5858" w:rsidRPr="0053734A">
        <w:rPr>
          <w:color w:val="000000" w:themeColor="text1"/>
          <w:sz w:val="24"/>
          <w:lang w:val="en-GB"/>
        </w:rPr>
        <w:t>interferences</w:t>
      </w:r>
      <w:r w:rsidR="00DD6F46" w:rsidRPr="0053734A">
        <w:rPr>
          <w:color w:val="000000" w:themeColor="text1"/>
          <w:sz w:val="24"/>
          <w:lang w:val="en-GB"/>
        </w:rPr>
        <w:t xml:space="preserve">, such as </w:t>
      </w:r>
      <w:r w:rsidR="00050AE4" w:rsidRPr="0053734A">
        <w:rPr>
          <w:color w:val="000000" w:themeColor="text1"/>
          <w:sz w:val="24"/>
          <w:lang w:val="en-GB"/>
        </w:rPr>
        <w:t xml:space="preserve">the </w:t>
      </w:r>
      <w:r w:rsidR="000A1FAB" w:rsidRPr="0053734A">
        <w:rPr>
          <w:color w:val="000000" w:themeColor="text1"/>
          <w:sz w:val="24"/>
          <w:lang w:val="en-GB"/>
        </w:rPr>
        <w:t>denial of</w:t>
      </w:r>
      <w:r w:rsidR="00DD6F46" w:rsidRPr="0053734A">
        <w:rPr>
          <w:color w:val="000000" w:themeColor="text1"/>
          <w:sz w:val="24"/>
          <w:lang w:val="en-GB"/>
        </w:rPr>
        <w:t xml:space="preserve"> access, </w:t>
      </w:r>
      <w:r w:rsidR="00050AE4" w:rsidRPr="0053734A">
        <w:rPr>
          <w:color w:val="000000" w:themeColor="text1"/>
          <w:sz w:val="24"/>
          <w:lang w:val="en-GB"/>
        </w:rPr>
        <w:t xml:space="preserve">the </w:t>
      </w:r>
      <w:r w:rsidR="007B3421" w:rsidRPr="0053734A">
        <w:rPr>
          <w:color w:val="000000" w:themeColor="text1"/>
          <w:sz w:val="24"/>
          <w:lang w:val="en-GB"/>
        </w:rPr>
        <w:t>obstruction</w:t>
      </w:r>
      <w:r w:rsidR="00DD6F46" w:rsidRPr="0053734A">
        <w:rPr>
          <w:color w:val="000000" w:themeColor="text1"/>
          <w:sz w:val="24"/>
          <w:lang w:val="en-GB"/>
        </w:rPr>
        <w:t xml:space="preserve"> of religious </w:t>
      </w:r>
      <w:r w:rsidR="00E53BB0" w:rsidRPr="0053734A">
        <w:rPr>
          <w:color w:val="000000" w:themeColor="text1"/>
          <w:sz w:val="24"/>
          <w:lang w:val="en-GB"/>
        </w:rPr>
        <w:t>c</w:t>
      </w:r>
      <w:r w:rsidR="00EE6136" w:rsidRPr="0053734A">
        <w:rPr>
          <w:color w:val="000000" w:themeColor="text1"/>
          <w:sz w:val="24"/>
          <w:lang w:val="en-GB"/>
        </w:rPr>
        <w:t>eremonies</w:t>
      </w:r>
      <w:r w:rsidR="00DD6F46" w:rsidRPr="0053734A">
        <w:rPr>
          <w:color w:val="000000" w:themeColor="text1"/>
          <w:sz w:val="24"/>
          <w:lang w:val="en-GB"/>
        </w:rPr>
        <w:t>, damage, plundering</w:t>
      </w:r>
      <w:r w:rsidR="005D0F81" w:rsidRPr="0053734A">
        <w:rPr>
          <w:color w:val="000000" w:themeColor="text1"/>
          <w:sz w:val="24"/>
          <w:lang w:val="en-GB"/>
        </w:rPr>
        <w:t xml:space="preserve"> and trafficking of artefacts,</w:t>
      </w:r>
      <w:r w:rsidR="00DD6F46" w:rsidRPr="0053734A">
        <w:rPr>
          <w:color w:val="000000" w:themeColor="text1"/>
          <w:sz w:val="24"/>
          <w:lang w:val="en-GB"/>
        </w:rPr>
        <w:t xml:space="preserve"> and destruction, both from a state </w:t>
      </w:r>
      <w:r w:rsidR="00746F2F" w:rsidRPr="0053734A">
        <w:rPr>
          <w:color w:val="000000" w:themeColor="text1"/>
          <w:sz w:val="24"/>
          <w:lang w:val="en-GB"/>
        </w:rPr>
        <w:t>and/</w:t>
      </w:r>
      <w:r w:rsidR="00DD6F46" w:rsidRPr="0053734A">
        <w:rPr>
          <w:color w:val="000000" w:themeColor="text1"/>
          <w:sz w:val="24"/>
          <w:lang w:val="en-GB"/>
        </w:rPr>
        <w:t xml:space="preserve">or from third parties, </w:t>
      </w:r>
      <w:r w:rsidR="00356A46" w:rsidRPr="0053734A">
        <w:rPr>
          <w:color w:val="000000" w:themeColor="text1"/>
          <w:sz w:val="24"/>
          <w:lang w:val="en-GB"/>
        </w:rPr>
        <w:t xml:space="preserve">giving special attention also to the prohibition of unlawful, disproportionate, discriminatory or otherwise </w:t>
      </w:r>
      <w:r w:rsidR="00531F3A" w:rsidRPr="0053734A">
        <w:rPr>
          <w:color w:val="000000" w:themeColor="text1"/>
          <w:sz w:val="24"/>
          <w:lang w:val="en-GB"/>
        </w:rPr>
        <w:t>unjust</w:t>
      </w:r>
      <w:r w:rsidR="00356A46" w:rsidRPr="0053734A">
        <w:rPr>
          <w:color w:val="000000" w:themeColor="text1"/>
          <w:sz w:val="24"/>
          <w:lang w:val="en-GB"/>
        </w:rPr>
        <w:t xml:space="preserve"> dispossession.</w:t>
      </w:r>
    </w:p>
    <w:p w:rsidR="00A574DB" w:rsidRPr="0053734A" w:rsidRDefault="00A574DB" w:rsidP="00A574DB">
      <w:pPr>
        <w:pStyle w:val="ListParagraph"/>
        <w:spacing w:after="0" w:line="240" w:lineRule="auto"/>
        <w:ind w:left="567"/>
        <w:jc w:val="both"/>
        <w:rPr>
          <w:color w:val="000000" w:themeColor="text1"/>
          <w:sz w:val="18"/>
          <w:lang w:val="en-GB"/>
        </w:rPr>
      </w:pPr>
    </w:p>
    <w:p w:rsidR="002427DC" w:rsidRDefault="002427DC" w:rsidP="002427DC">
      <w:pPr>
        <w:pStyle w:val="ListParagraph"/>
        <w:spacing w:after="0" w:line="240" w:lineRule="auto"/>
        <w:ind w:left="567"/>
        <w:jc w:val="both"/>
        <w:rPr>
          <w:color w:val="000000" w:themeColor="text1"/>
          <w:sz w:val="24"/>
          <w:lang w:val="en-GB"/>
        </w:rPr>
      </w:pPr>
    </w:p>
    <w:p w:rsidR="002427DC" w:rsidRDefault="002427DC" w:rsidP="002427DC">
      <w:pPr>
        <w:pStyle w:val="ListParagraph"/>
        <w:spacing w:after="0" w:line="240" w:lineRule="auto"/>
        <w:ind w:left="567"/>
        <w:jc w:val="both"/>
        <w:rPr>
          <w:color w:val="000000" w:themeColor="text1"/>
          <w:sz w:val="24"/>
          <w:lang w:val="en-GB"/>
        </w:rPr>
      </w:pPr>
    </w:p>
    <w:p w:rsidR="002427DC" w:rsidRDefault="002427DC" w:rsidP="002427DC">
      <w:pPr>
        <w:pStyle w:val="ListParagraph"/>
        <w:spacing w:after="0" w:line="240" w:lineRule="auto"/>
        <w:ind w:left="567"/>
        <w:jc w:val="both"/>
        <w:rPr>
          <w:color w:val="000000" w:themeColor="text1"/>
          <w:sz w:val="24"/>
          <w:lang w:val="en-GB"/>
        </w:rPr>
      </w:pPr>
    </w:p>
    <w:p w:rsidR="002427DC" w:rsidRDefault="002427DC" w:rsidP="002427DC">
      <w:pPr>
        <w:pStyle w:val="ListParagraph"/>
        <w:spacing w:after="0" w:line="240" w:lineRule="auto"/>
        <w:ind w:left="567"/>
        <w:jc w:val="both"/>
        <w:rPr>
          <w:color w:val="000000" w:themeColor="text1"/>
          <w:sz w:val="24"/>
          <w:lang w:val="en-GB"/>
        </w:rPr>
      </w:pPr>
    </w:p>
    <w:p w:rsidR="002427DC" w:rsidRPr="002427DC" w:rsidRDefault="002427DC" w:rsidP="002427DC">
      <w:pPr>
        <w:pStyle w:val="ListParagraph"/>
        <w:rPr>
          <w:color w:val="000000" w:themeColor="text1"/>
          <w:sz w:val="24"/>
          <w:lang w:val="en-GB"/>
        </w:rPr>
      </w:pPr>
    </w:p>
    <w:p w:rsidR="00DE2AA2" w:rsidRPr="0053734A" w:rsidRDefault="00A63B17" w:rsidP="00AB2FAF">
      <w:pPr>
        <w:pStyle w:val="ListParagraph"/>
        <w:numPr>
          <w:ilvl w:val="0"/>
          <w:numId w:val="1"/>
        </w:numPr>
        <w:spacing w:after="0" w:line="240" w:lineRule="auto"/>
        <w:ind w:left="567" w:hanging="567"/>
        <w:jc w:val="both"/>
        <w:rPr>
          <w:color w:val="000000" w:themeColor="text1"/>
          <w:sz w:val="24"/>
          <w:lang w:val="en-GB"/>
        </w:rPr>
      </w:pPr>
      <w:r w:rsidRPr="0053734A">
        <w:rPr>
          <w:color w:val="000000" w:themeColor="text1"/>
          <w:sz w:val="24"/>
          <w:lang w:val="en-GB"/>
        </w:rPr>
        <w:t>call</w:t>
      </w:r>
      <w:r w:rsidR="00065C96" w:rsidRPr="0053734A">
        <w:rPr>
          <w:color w:val="000000" w:themeColor="text1"/>
          <w:sz w:val="24"/>
          <w:lang w:val="en-GB"/>
        </w:rPr>
        <w:t xml:space="preserve"> on all Members </w:t>
      </w:r>
      <w:r w:rsidR="00531F3A" w:rsidRPr="0053734A">
        <w:rPr>
          <w:color w:val="000000" w:themeColor="text1"/>
          <w:sz w:val="24"/>
          <w:lang w:val="en-GB"/>
        </w:rPr>
        <w:t>of the Conference of European Churches as well as on all other Churches and communities</w:t>
      </w:r>
      <w:r w:rsidR="005C697D">
        <w:rPr>
          <w:color w:val="000000" w:themeColor="text1"/>
          <w:sz w:val="24"/>
          <w:lang w:val="en-GB"/>
        </w:rPr>
        <w:t xml:space="preserve"> of religion or belief</w:t>
      </w:r>
      <w:r w:rsidR="00531F3A" w:rsidRPr="0053734A">
        <w:rPr>
          <w:color w:val="000000" w:themeColor="text1"/>
          <w:sz w:val="24"/>
          <w:lang w:val="en-GB"/>
        </w:rPr>
        <w:t xml:space="preserve"> in Europe and the Middle East </w:t>
      </w:r>
    </w:p>
    <w:p w:rsidR="00DE2AA2" w:rsidRPr="0053734A" w:rsidRDefault="00531F3A" w:rsidP="00DE2AA2">
      <w:pPr>
        <w:pStyle w:val="ListParagraph"/>
        <w:numPr>
          <w:ilvl w:val="0"/>
          <w:numId w:val="8"/>
        </w:numPr>
        <w:spacing w:after="0" w:line="240" w:lineRule="auto"/>
        <w:jc w:val="both"/>
        <w:rPr>
          <w:color w:val="000000" w:themeColor="text1"/>
          <w:sz w:val="24"/>
          <w:lang w:val="en-GB"/>
        </w:rPr>
      </w:pPr>
      <w:r w:rsidRPr="0053734A">
        <w:rPr>
          <w:color w:val="000000" w:themeColor="text1"/>
          <w:sz w:val="24"/>
          <w:lang w:val="en-GB"/>
        </w:rPr>
        <w:t xml:space="preserve">to seek, in the spirit of peace and reconciliation, a common understanding especially in the handling of such sites that are of religious or spiritual </w:t>
      </w:r>
      <w:r w:rsidR="00050AE4" w:rsidRPr="0053734A">
        <w:rPr>
          <w:color w:val="000000" w:themeColor="text1"/>
          <w:sz w:val="24"/>
          <w:lang w:val="en-GB"/>
        </w:rPr>
        <w:t>significance</w:t>
      </w:r>
      <w:r w:rsidRPr="0053734A">
        <w:rPr>
          <w:color w:val="000000" w:themeColor="text1"/>
          <w:sz w:val="24"/>
          <w:lang w:val="en-GB"/>
        </w:rPr>
        <w:t xml:space="preserve"> to more than one</w:t>
      </w:r>
      <w:r w:rsidR="005D0F81" w:rsidRPr="0053734A">
        <w:rPr>
          <w:color w:val="000000" w:themeColor="text1"/>
          <w:sz w:val="24"/>
          <w:lang w:val="en-GB"/>
        </w:rPr>
        <w:t xml:space="preserve"> denomination or</w:t>
      </w:r>
      <w:r w:rsidR="00430B72">
        <w:rPr>
          <w:color w:val="000000" w:themeColor="text1"/>
          <w:sz w:val="24"/>
          <w:lang w:val="en-GB"/>
        </w:rPr>
        <w:t xml:space="preserve"> religion,</w:t>
      </w:r>
    </w:p>
    <w:p w:rsidR="00A574DB" w:rsidRDefault="00DE2AA2" w:rsidP="00DE2AA2">
      <w:pPr>
        <w:pStyle w:val="ListParagraph"/>
        <w:numPr>
          <w:ilvl w:val="0"/>
          <w:numId w:val="8"/>
        </w:numPr>
        <w:spacing w:after="0" w:line="240" w:lineRule="auto"/>
        <w:jc w:val="both"/>
        <w:rPr>
          <w:color w:val="000000" w:themeColor="text1"/>
          <w:sz w:val="24"/>
          <w:lang w:val="en-GB"/>
        </w:rPr>
      </w:pPr>
      <w:r w:rsidRPr="0053734A">
        <w:rPr>
          <w:color w:val="000000" w:themeColor="text1"/>
          <w:sz w:val="24"/>
          <w:lang w:val="en-GB"/>
        </w:rPr>
        <w:t xml:space="preserve">to engage in dialogue on how religious actors can together raise political </w:t>
      </w:r>
      <w:r w:rsidR="005F53EC" w:rsidRPr="0053734A">
        <w:rPr>
          <w:color w:val="000000" w:themeColor="text1"/>
          <w:sz w:val="24"/>
          <w:lang w:val="en-GB"/>
        </w:rPr>
        <w:t>awareness for their importance</w:t>
      </w:r>
      <w:r w:rsidRPr="0053734A">
        <w:rPr>
          <w:color w:val="000000" w:themeColor="text1"/>
          <w:sz w:val="24"/>
          <w:lang w:val="en-GB"/>
        </w:rPr>
        <w:t xml:space="preserve"> while forestalling a politicisation </w:t>
      </w:r>
      <w:r w:rsidR="00430B72">
        <w:rPr>
          <w:color w:val="000000" w:themeColor="text1"/>
          <w:sz w:val="24"/>
          <w:lang w:val="en-GB"/>
        </w:rPr>
        <w:t>of religious sites in conflicts,</w:t>
      </w:r>
    </w:p>
    <w:p w:rsidR="00430B72" w:rsidRPr="0053734A" w:rsidRDefault="00430B72" w:rsidP="00DE2AA2">
      <w:pPr>
        <w:pStyle w:val="ListParagraph"/>
        <w:numPr>
          <w:ilvl w:val="0"/>
          <w:numId w:val="8"/>
        </w:numPr>
        <w:spacing w:after="0" w:line="240" w:lineRule="auto"/>
        <w:jc w:val="both"/>
        <w:rPr>
          <w:color w:val="000000" w:themeColor="text1"/>
          <w:sz w:val="24"/>
          <w:lang w:val="en-GB"/>
        </w:rPr>
      </w:pPr>
      <w:r>
        <w:rPr>
          <w:color w:val="000000" w:themeColor="text1"/>
          <w:sz w:val="24"/>
          <w:lang w:val="en-GB"/>
        </w:rPr>
        <w:t>to join in common action to defend each other’s rights, with a special view to minorities.</w:t>
      </w:r>
    </w:p>
    <w:p w:rsidR="0080140A" w:rsidRPr="004B52B8" w:rsidRDefault="0080140A" w:rsidP="004B52B8">
      <w:pPr>
        <w:spacing w:after="0" w:line="240" w:lineRule="auto"/>
        <w:jc w:val="both"/>
        <w:rPr>
          <w:color w:val="000000" w:themeColor="text1"/>
          <w:sz w:val="24"/>
          <w:lang w:val="en-GB"/>
        </w:rPr>
      </w:pPr>
    </w:p>
    <w:p w:rsidR="008B64D3" w:rsidRPr="0053734A" w:rsidRDefault="00A63B17" w:rsidP="00AB2FAF">
      <w:pPr>
        <w:pStyle w:val="ListParagraph"/>
        <w:numPr>
          <w:ilvl w:val="0"/>
          <w:numId w:val="1"/>
        </w:numPr>
        <w:spacing w:after="0" w:line="240" w:lineRule="auto"/>
        <w:ind w:left="567" w:hanging="567"/>
        <w:jc w:val="both"/>
        <w:rPr>
          <w:color w:val="000000" w:themeColor="text1"/>
          <w:sz w:val="24"/>
          <w:lang w:val="en-GB"/>
        </w:rPr>
      </w:pPr>
      <w:r w:rsidRPr="0053734A">
        <w:rPr>
          <w:color w:val="000000" w:themeColor="text1"/>
          <w:sz w:val="24"/>
          <w:lang w:val="en-GB"/>
        </w:rPr>
        <w:t>expect</w:t>
      </w:r>
      <w:r w:rsidR="00531F3A" w:rsidRPr="0053734A">
        <w:rPr>
          <w:color w:val="000000" w:themeColor="text1"/>
          <w:sz w:val="24"/>
          <w:lang w:val="en-GB"/>
        </w:rPr>
        <w:t xml:space="preserve"> the European Institution</w:t>
      </w:r>
      <w:r w:rsidR="00E3260E" w:rsidRPr="0053734A">
        <w:rPr>
          <w:color w:val="000000" w:themeColor="text1"/>
          <w:sz w:val="24"/>
          <w:lang w:val="en-GB"/>
        </w:rPr>
        <w:t>s and the Member S</w:t>
      </w:r>
      <w:r w:rsidR="00177BB8" w:rsidRPr="0053734A">
        <w:rPr>
          <w:color w:val="000000" w:themeColor="text1"/>
          <w:sz w:val="24"/>
          <w:lang w:val="en-GB"/>
        </w:rPr>
        <w:t>tates of the European Union</w:t>
      </w:r>
      <w:r w:rsidR="008B64D3" w:rsidRPr="0053734A">
        <w:rPr>
          <w:color w:val="000000" w:themeColor="text1"/>
          <w:sz w:val="24"/>
          <w:lang w:val="en-GB"/>
        </w:rPr>
        <w:t>,</w:t>
      </w:r>
      <w:r w:rsidR="001E6FB4" w:rsidRPr="0053734A">
        <w:rPr>
          <w:color w:val="000000" w:themeColor="text1"/>
          <w:sz w:val="24"/>
          <w:lang w:val="en-GB"/>
        </w:rPr>
        <w:t xml:space="preserve"> in </w:t>
      </w:r>
      <w:r w:rsidR="00E3260E" w:rsidRPr="0053734A">
        <w:rPr>
          <w:color w:val="000000" w:themeColor="text1"/>
          <w:sz w:val="24"/>
          <w:lang w:val="en-GB"/>
        </w:rPr>
        <w:t>cooperation</w:t>
      </w:r>
      <w:r w:rsidR="001E6FB4" w:rsidRPr="0053734A">
        <w:rPr>
          <w:color w:val="000000" w:themeColor="text1"/>
          <w:sz w:val="24"/>
          <w:lang w:val="en-GB"/>
        </w:rPr>
        <w:t xml:space="preserve"> with other international actors</w:t>
      </w:r>
      <w:r w:rsidR="001E6FB4" w:rsidRPr="0053734A">
        <w:rPr>
          <w:rStyle w:val="EndnoteReference"/>
          <w:color w:val="000000" w:themeColor="text1"/>
          <w:sz w:val="24"/>
          <w:lang w:val="en-GB"/>
        </w:rPr>
        <w:endnoteReference w:id="6"/>
      </w:r>
      <w:r w:rsidR="00E3260E" w:rsidRPr="0053734A">
        <w:rPr>
          <w:color w:val="000000" w:themeColor="text1"/>
          <w:sz w:val="24"/>
          <w:lang w:val="en-GB"/>
        </w:rPr>
        <w:t>,</w:t>
      </w:r>
    </w:p>
    <w:p w:rsidR="00531F3A" w:rsidRPr="0053734A" w:rsidRDefault="004B077A" w:rsidP="0053734A">
      <w:pPr>
        <w:pStyle w:val="ListParagraph"/>
        <w:numPr>
          <w:ilvl w:val="0"/>
          <w:numId w:val="7"/>
        </w:numPr>
        <w:spacing w:after="0" w:line="240" w:lineRule="auto"/>
        <w:jc w:val="both"/>
        <w:rPr>
          <w:color w:val="000000" w:themeColor="text1"/>
          <w:sz w:val="24"/>
          <w:lang w:val="en-GB"/>
        </w:rPr>
      </w:pPr>
      <w:r w:rsidRPr="0053734A">
        <w:rPr>
          <w:color w:val="000000" w:themeColor="text1"/>
          <w:sz w:val="24"/>
          <w:lang w:val="en-GB"/>
        </w:rPr>
        <w:t>to use the upcoming ‘</w:t>
      </w:r>
      <w:r w:rsidR="00531F3A" w:rsidRPr="0053734A">
        <w:rPr>
          <w:color w:val="000000" w:themeColor="text1"/>
          <w:sz w:val="24"/>
          <w:lang w:val="en-GB"/>
        </w:rPr>
        <w:t>Eur</w:t>
      </w:r>
      <w:r w:rsidRPr="0053734A">
        <w:rPr>
          <w:color w:val="000000" w:themeColor="text1"/>
          <w:sz w:val="24"/>
          <w:lang w:val="en-GB"/>
        </w:rPr>
        <w:t>opean Year of Cultural Heritage’</w:t>
      </w:r>
      <w:r w:rsidR="00531F3A" w:rsidRPr="0053734A">
        <w:rPr>
          <w:color w:val="000000" w:themeColor="text1"/>
          <w:sz w:val="24"/>
          <w:lang w:val="en-GB"/>
        </w:rPr>
        <w:t xml:space="preserve"> </w:t>
      </w:r>
      <w:r w:rsidR="006C5405" w:rsidRPr="0053734A">
        <w:rPr>
          <w:color w:val="000000" w:themeColor="text1"/>
          <w:sz w:val="24"/>
          <w:lang w:val="en-GB"/>
        </w:rPr>
        <w:t xml:space="preserve">(2018) </w:t>
      </w:r>
      <w:r w:rsidR="0053734A" w:rsidRPr="0053734A">
        <w:rPr>
          <w:color w:val="000000" w:themeColor="text1"/>
          <w:sz w:val="24"/>
          <w:lang w:val="en-GB"/>
        </w:rPr>
        <w:t>to increase their efforts to ensure respect and protection for ‘places of worship’ and ‘holy sites’, both in EU law and in the Common Foreign and Security Policy</w:t>
      </w:r>
      <w:r w:rsidR="005F53EC" w:rsidRPr="0053734A">
        <w:rPr>
          <w:color w:val="000000" w:themeColor="text1"/>
          <w:sz w:val="24"/>
          <w:lang w:val="en-GB"/>
        </w:rPr>
        <w:t>;</w:t>
      </w:r>
    </w:p>
    <w:p w:rsidR="008B64D3" w:rsidRPr="0053734A" w:rsidRDefault="008B64D3" w:rsidP="00141DBF">
      <w:pPr>
        <w:pStyle w:val="ListParagraph"/>
        <w:numPr>
          <w:ilvl w:val="0"/>
          <w:numId w:val="7"/>
        </w:numPr>
        <w:spacing w:after="0" w:line="240" w:lineRule="auto"/>
        <w:jc w:val="both"/>
        <w:rPr>
          <w:color w:val="000000" w:themeColor="text1"/>
          <w:sz w:val="24"/>
          <w:lang w:val="en-GB"/>
        </w:rPr>
      </w:pPr>
      <w:r w:rsidRPr="0053734A">
        <w:rPr>
          <w:color w:val="000000" w:themeColor="text1"/>
          <w:sz w:val="24"/>
          <w:lang w:val="en-GB"/>
        </w:rPr>
        <w:t xml:space="preserve">to </w:t>
      </w:r>
      <w:r w:rsidR="00141DBF" w:rsidRPr="0053734A">
        <w:rPr>
          <w:color w:val="000000" w:themeColor="text1"/>
          <w:sz w:val="24"/>
          <w:lang w:val="en-GB"/>
        </w:rPr>
        <w:t>work towards a comprehensive international regime of legal protection, building on a better understanding of the fundamental right to Freedom of Religion or Belief, and including a common definition of such places and sites as well as legal remedies to ensure proper implementation. In particular, religious communities must be able to acquire or built, own</w:t>
      </w:r>
      <w:r w:rsidR="00210B8F">
        <w:rPr>
          <w:color w:val="000000" w:themeColor="text1"/>
          <w:sz w:val="24"/>
          <w:lang w:val="en-GB"/>
        </w:rPr>
        <w:t xml:space="preserve"> and administer,</w:t>
      </w:r>
      <w:r w:rsidR="00141DBF" w:rsidRPr="0053734A">
        <w:rPr>
          <w:color w:val="000000" w:themeColor="text1"/>
          <w:sz w:val="24"/>
          <w:lang w:val="en-GB"/>
        </w:rPr>
        <w:t xml:space="preserve"> maintain or restore, access and use such places.</w:t>
      </w:r>
    </w:p>
    <w:p w:rsidR="008B64D3" w:rsidRDefault="008B64D3" w:rsidP="008B64D3">
      <w:pPr>
        <w:spacing w:after="0" w:line="240" w:lineRule="auto"/>
        <w:ind w:left="567"/>
        <w:jc w:val="both"/>
        <w:rPr>
          <w:color w:val="000000" w:themeColor="text1"/>
          <w:sz w:val="24"/>
          <w:lang w:val="en-GB"/>
        </w:rPr>
      </w:pPr>
    </w:p>
    <w:p w:rsidR="0053734A" w:rsidRDefault="0053734A"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Default="00275F03" w:rsidP="008B64D3">
      <w:pPr>
        <w:spacing w:after="0" w:line="240" w:lineRule="auto"/>
        <w:ind w:left="567"/>
        <w:jc w:val="both"/>
        <w:rPr>
          <w:color w:val="000000" w:themeColor="text1"/>
          <w:sz w:val="24"/>
          <w:lang w:val="en-GB"/>
        </w:rPr>
      </w:pPr>
    </w:p>
    <w:p w:rsidR="00275F03" w:rsidRPr="0053734A" w:rsidRDefault="00275F03" w:rsidP="000E5789">
      <w:pPr>
        <w:spacing w:after="0" w:line="240" w:lineRule="auto"/>
        <w:jc w:val="both"/>
        <w:rPr>
          <w:color w:val="000000" w:themeColor="text1"/>
          <w:sz w:val="24"/>
          <w:lang w:val="en-GB"/>
        </w:rPr>
      </w:pPr>
    </w:p>
    <w:sectPr w:rsidR="00275F03" w:rsidRPr="0053734A" w:rsidSect="00CA3048">
      <w:pgSz w:w="11906" w:h="16838"/>
      <w:pgMar w:top="39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E5" w:rsidRDefault="00A07EE5" w:rsidP="00795CBF">
      <w:pPr>
        <w:spacing w:after="0" w:line="240" w:lineRule="auto"/>
      </w:pPr>
      <w:r>
        <w:separator/>
      </w:r>
    </w:p>
  </w:endnote>
  <w:endnote w:type="continuationSeparator" w:id="0">
    <w:p w:rsidR="00A07EE5" w:rsidRDefault="00A07EE5" w:rsidP="00795CBF">
      <w:pPr>
        <w:spacing w:after="0" w:line="240" w:lineRule="auto"/>
      </w:pPr>
      <w:r>
        <w:continuationSeparator/>
      </w:r>
    </w:p>
  </w:endnote>
  <w:endnote w:id="1">
    <w:p w:rsidR="008A08DE" w:rsidRDefault="008A08DE">
      <w:pPr>
        <w:pStyle w:val="EndnoteText"/>
        <w:rPr>
          <w:lang w:val="en-GB"/>
        </w:rPr>
      </w:pPr>
      <w:r>
        <w:rPr>
          <w:lang w:val="en-GB"/>
        </w:rPr>
        <w:t>References:</w:t>
      </w:r>
    </w:p>
    <w:p w:rsidR="008A08DE" w:rsidRDefault="008A08DE">
      <w:pPr>
        <w:pStyle w:val="EndnoteText"/>
        <w:rPr>
          <w:lang w:val="en-GB"/>
        </w:rPr>
      </w:pPr>
    </w:p>
    <w:p w:rsidR="00FF207C" w:rsidRPr="00FF207C" w:rsidRDefault="00FF207C">
      <w:pPr>
        <w:pStyle w:val="EndnoteText"/>
        <w:rPr>
          <w:lang w:val="en-GB"/>
        </w:rPr>
      </w:pPr>
      <w:r>
        <w:rPr>
          <w:rStyle w:val="EndnoteReference"/>
        </w:rPr>
        <w:endnoteRef/>
      </w:r>
      <w:r w:rsidRPr="00FF207C">
        <w:rPr>
          <w:lang w:val="en-GB"/>
        </w:rPr>
        <w:t xml:space="preserve"> Participants were coming from several EU and non-EU states in Europe, as well as</w:t>
      </w:r>
      <w:r w:rsidR="00A24F14">
        <w:rPr>
          <w:lang w:val="en-GB"/>
        </w:rPr>
        <w:t xml:space="preserve"> from Turkey and the Middle East, for example the Holy Land and Syria.</w:t>
      </w:r>
    </w:p>
  </w:endnote>
  <w:endnote w:id="2">
    <w:p w:rsidR="00FF207C" w:rsidRPr="00FF207C" w:rsidRDefault="00FF207C">
      <w:pPr>
        <w:pStyle w:val="EndnoteText"/>
        <w:rPr>
          <w:lang w:val="en-GB"/>
        </w:rPr>
      </w:pPr>
      <w:r>
        <w:rPr>
          <w:rStyle w:val="EndnoteReference"/>
        </w:rPr>
        <w:endnoteRef/>
      </w:r>
      <w:r w:rsidRPr="00FF207C">
        <w:rPr>
          <w:lang w:val="en-GB"/>
        </w:rPr>
        <w:t xml:space="preserve"> </w:t>
      </w:r>
      <w:r>
        <w:rPr>
          <w:lang w:val="en-GB"/>
        </w:rPr>
        <w:t>A fellowship of 115 European Churches from the Protestant, Orthodox, Anglican and Old Catholic traditions.</w:t>
      </w:r>
    </w:p>
  </w:endnote>
  <w:endnote w:id="3">
    <w:p w:rsidR="00FF207C" w:rsidRPr="00FF207C" w:rsidRDefault="00FF207C" w:rsidP="00FF207C">
      <w:pPr>
        <w:pStyle w:val="EndnoteText"/>
        <w:rPr>
          <w:lang w:val="en-GB"/>
        </w:rPr>
      </w:pPr>
      <w:r>
        <w:rPr>
          <w:rStyle w:val="EndnoteReference"/>
        </w:rPr>
        <w:endnoteRef/>
      </w:r>
      <w:r w:rsidRPr="00FF207C">
        <w:rPr>
          <w:lang w:val="en-GB"/>
        </w:rPr>
        <w:t xml:space="preserve"> </w:t>
      </w:r>
      <w:r>
        <w:rPr>
          <w:lang w:val="en-GB"/>
        </w:rPr>
        <w:t>For example, i</w:t>
      </w:r>
      <w:r w:rsidRPr="00FF207C">
        <w:rPr>
          <w:lang w:val="en-GB"/>
        </w:rPr>
        <w:t>n September 2016 the International Criminal Court found a person guilty of “the war crime of intentionally directing attacks against historic monuments and buildings de</w:t>
      </w:r>
      <w:r>
        <w:rPr>
          <w:lang w:val="en-GB"/>
        </w:rPr>
        <w:t>dicated to religion” in Mali; and in</w:t>
      </w:r>
      <w:r w:rsidRPr="00FF207C">
        <w:rPr>
          <w:lang w:val="en-GB"/>
        </w:rPr>
        <w:t xml:space="preserve"> March 2017, the UN Security Council deplored and condemned “the unlawful destruction of cultural heritage, inter alia destruction of religious sites and artefacts”.</w:t>
      </w:r>
    </w:p>
  </w:endnote>
  <w:endnote w:id="4">
    <w:p w:rsidR="00C63C45" w:rsidRPr="00C63C45" w:rsidRDefault="00C63C45">
      <w:pPr>
        <w:pStyle w:val="EndnoteText"/>
        <w:rPr>
          <w:lang w:val="en-GB"/>
        </w:rPr>
      </w:pPr>
      <w:r>
        <w:rPr>
          <w:rStyle w:val="EndnoteReference"/>
        </w:rPr>
        <w:endnoteRef/>
      </w:r>
      <w:r w:rsidRPr="00C63C45">
        <w:rPr>
          <w:lang w:val="en-GB"/>
        </w:rPr>
        <w:t xml:space="preserve"> </w:t>
      </w:r>
      <w:r>
        <w:rPr>
          <w:lang w:val="en-GB"/>
        </w:rPr>
        <w:t xml:space="preserve">Cf. </w:t>
      </w:r>
      <w:r w:rsidRPr="00C63C45">
        <w:rPr>
          <w:lang w:val="en-GB"/>
        </w:rPr>
        <w:t xml:space="preserve">Article 6 (a) of the </w:t>
      </w:r>
      <w:r>
        <w:rPr>
          <w:lang w:val="en-GB"/>
        </w:rPr>
        <w:t>UN General Assembly’s “</w:t>
      </w:r>
      <w:r w:rsidRPr="00C63C45">
        <w:rPr>
          <w:lang w:val="en-GB"/>
        </w:rPr>
        <w:t>Declaration on the Elimination of All Forms of Intolerance and of Discrimination Based on Religion or Belief</w:t>
      </w:r>
      <w:r>
        <w:rPr>
          <w:lang w:val="en-GB"/>
        </w:rPr>
        <w:t>” (</w:t>
      </w:r>
      <w:r w:rsidRPr="00C63C45">
        <w:rPr>
          <w:lang w:val="en-GB"/>
        </w:rPr>
        <w:t>A/RES/36/55</w:t>
      </w:r>
      <w:r>
        <w:rPr>
          <w:lang w:val="en-GB"/>
        </w:rPr>
        <w:t xml:space="preserve">, 1981); </w:t>
      </w:r>
      <w:r w:rsidR="001E6FB4">
        <w:rPr>
          <w:lang w:val="en-GB"/>
        </w:rPr>
        <w:t xml:space="preserve">the </w:t>
      </w:r>
      <w:r w:rsidR="001E6FB4" w:rsidRPr="001E6FB4">
        <w:rPr>
          <w:lang w:val="en-GB"/>
        </w:rPr>
        <w:t>UN Human Rights Committee</w:t>
      </w:r>
      <w:r w:rsidR="001E6FB4">
        <w:rPr>
          <w:lang w:val="en-GB"/>
        </w:rPr>
        <w:t>’s “General Comment 22, para 4).</w:t>
      </w:r>
    </w:p>
  </w:endnote>
  <w:endnote w:id="5">
    <w:p w:rsidR="00CA1D6F" w:rsidRPr="00CA1D6F" w:rsidRDefault="00CA1D6F">
      <w:pPr>
        <w:pStyle w:val="EndnoteText"/>
        <w:rPr>
          <w:lang w:val="en-GB"/>
        </w:rPr>
      </w:pPr>
      <w:r>
        <w:rPr>
          <w:rStyle w:val="EndnoteReference"/>
        </w:rPr>
        <w:endnoteRef/>
      </w:r>
      <w:r w:rsidRPr="00CA1D6F">
        <w:rPr>
          <w:lang w:val="en-GB"/>
        </w:rPr>
        <w:t xml:space="preserve"> </w:t>
      </w:r>
      <w:r>
        <w:rPr>
          <w:lang w:val="en-GB"/>
        </w:rPr>
        <w:t>A</w:t>
      </w:r>
      <w:r w:rsidRPr="00CA1D6F">
        <w:rPr>
          <w:lang w:val="en-GB"/>
        </w:rPr>
        <w:t xml:space="preserve">s enshrined in Article 18 of the Universal Declaration of Human Rights, in Article 18 of the International Covenant on Civil and Political Rights, and in </w:t>
      </w:r>
      <w:r>
        <w:rPr>
          <w:lang w:val="en-GB"/>
        </w:rPr>
        <w:t>European legal instruments such as Article 9 of the European Convention on Human Rights or Article 10 or the Charter of Fundamental Rights of the European Union.</w:t>
      </w:r>
    </w:p>
  </w:endnote>
  <w:endnote w:id="6">
    <w:p w:rsidR="001E6FB4" w:rsidRPr="001E6FB4" w:rsidRDefault="001E6FB4">
      <w:pPr>
        <w:pStyle w:val="EndnoteText"/>
        <w:rPr>
          <w:lang w:val="en-GB"/>
        </w:rPr>
      </w:pPr>
      <w:r>
        <w:rPr>
          <w:rStyle w:val="EndnoteReference"/>
        </w:rPr>
        <w:endnoteRef/>
      </w:r>
      <w:r w:rsidRPr="001E6FB4">
        <w:rPr>
          <w:lang w:val="en-GB"/>
        </w:rPr>
        <w:t xml:space="preserve"> For example the </w:t>
      </w:r>
      <w:r>
        <w:rPr>
          <w:lang w:val="en-GB"/>
        </w:rPr>
        <w:t xml:space="preserve">UN Human Rights Council’s </w:t>
      </w:r>
      <w:r w:rsidRPr="001E6FB4">
        <w:rPr>
          <w:lang w:val="en-GB"/>
        </w:rPr>
        <w:t>resolution 6/37</w:t>
      </w:r>
      <w:r>
        <w:rPr>
          <w:lang w:val="en-GB"/>
        </w:rPr>
        <w:t xml:space="preserve"> (9e).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E5" w:rsidRDefault="00A07EE5" w:rsidP="00795CBF">
      <w:pPr>
        <w:spacing w:after="0" w:line="240" w:lineRule="auto"/>
      </w:pPr>
      <w:r>
        <w:separator/>
      </w:r>
    </w:p>
  </w:footnote>
  <w:footnote w:type="continuationSeparator" w:id="0">
    <w:p w:rsidR="00A07EE5" w:rsidRDefault="00A07EE5" w:rsidP="00795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F17"/>
    <w:multiLevelType w:val="hybridMultilevel"/>
    <w:tmpl w:val="9B1E5438"/>
    <w:lvl w:ilvl="0" w:tplc="36C46A68">
      <w:start w:val="16"/>
      <w:numFmt w:val="bullet"/>
      <w:lvlText w:val="-"/>
      <w:lvlJc w:val="left"/>
      <w:pPr>
        <w:ind w:left="927" w:hanging="360"/>
      </w:pPr>
      <w:rPr>
        <w:rFonts w:ascii="Calibri" w:eastAsiaTheme="minorHAnsi" w:hAnsi="Calibri" w:cstheme="minorBid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162B1E0F"/>
    <w:multiLevelType w:val="hybridMultilevel"/>
    <w:tmpl w:val="B5A875B8"/>
    <w:lvl w:ilvl="0" w:tplc="36C46A68">
      <w:start w:val="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32AA2"/>
    <w:multiLevelType w:val="hybridMultilevel"/>
    <w:tmpl w:val="6C5ECCEA"/>
    <w:lvl w:ilvl="0" w:tplc="56CE833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70A3D57"/>
    <w:multiLevelType w:val="hybridMultilevel"/>
    <w:tmpl w:val="76A4E9DC"/>
    <w:lvl w:ilvl="0" w:tplc="36C46A6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787EC8"/>
    <w:multiLevelType w:val="hybridMultilevel"/>
    <w:tmpl w:val="46F6A3F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FF328E"/>
    <w:multiLevelType w:val="hybridMultilevel"/>
    <w:tmpl w:val="6060CBB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36C46A68">
      <w:start w:val="16"/>
      <w:numFmt w:val="bullet"/>
      <w:lvlText w:val="-"/>
      <w:lvlJc w:val="left"/>
      <w:pPr>
        <w:ind w:left="2160" w:hanging="360"/>
      </w:pPr>
      <w:rPr>
        <w:rFonts w:ascii="Calibri" w:eastAsiaTheme="minorHAnsi" w:hAnsi="Calibri"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FE6FCA"/>
    <w:multiLevelType w:val="hybridMultilevel"/>
    <w:tmpl w:val="BD8C42E4"/>
    <w:lvl w:ilvl="0" w:tplc="36C46A68">
      <w:start w:val="16"/>
      <w:numFmt w:val="bullet"/>
      <w:lvlText w:val="-"/>
      <w:lvlJc w:val="left"/>
      <w:pPr>
        <w:ind w:left="927" w:hanging="360"/>
      </w:pPr>
      <w:rPr>
        <w:rFonts w:ascii="Calibri" w:eastAsiaTheme="minorHAnsi" w:hAnsi="Calibri" w:cstheme="minorBid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6A8416D7"/>
    <w:multiLevelType w:val="hybridMultilevel"/>
    <w:tmpl w:val="EF0C3FF8"/>
    <w:lvl w:ilvl="0" w:tplc="04070005">
      <w:start w:val="1"/>
      <w:numFmt w:val="bullet"/>
      <w:lvlText w:val=""/>
      <w:lvlJc w:val="left"/>
      <w:pPr>
        <w:ind w:left="2988" w:hanging="360"/>
      </w:pPr>
      <w:rPr>
        <w:rFonts w:ascii="Wingdings" w:hAnsi="Wingding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8D"/>
    <w:rsid w:val="00007144"/>
    <w:rsid w:val="00050AE4"/>
    <w:rsid w:val="00065C96"/>
    <w:rsid w:val="00094913"/>
    <w:rsid w:val="000A1FAB"/>
    <w:rsid w:val="000E5789"/>
    <w:rsid w:val="0011366C"/>
    <w:rsid w:val="001403B7"/>
    <w:rsid w:val="00141DBF"/>
    <w:rsid w:val="001461D5"/>
    <w:rsid w:val="00160F08"/>
    <w:rsid w:val="00170499"/>
    <w:rsid w:val="00177BB8"/>
    <w:rsid w:val="00185056"/>
    <w:rsid w:val="00192A87"/>
    <w:rsid w:val="001B7DB6"/>
    <w:rsid w:val="001D7CE1"/>
    <w:rsid w:val="001E6FB4"/>
    <w:rsid w:val="001F2BD8"/>
    <w:rsid w:val="001F60C4"/>
    <w:rsid w:val="0020703B"/>
    <w:rsid w:val="002073E8"/>
    <w:rsid w:val="00210B8F"/>
    <w:rsid w:val="00223C6D"/>
    <w:rsid w:val="002427DC"/>
    <w:rsid w:val="00275F03"/>
    <w:rsid w:val="002F677A"/>
    <w:rsid w:val="00341608"/>
    <w:rsid w:val="00353F26"/>
    <w:rsid w:val="00356A46"/>
    <w:rsid w:val="00357456"/>
    <w:rsid w:val="0036318C"/>
    <w:rsid w:val="003C58F7"/>
    <w:rsid w:val="003D4B40"/>
    <w:rsid w:val="003F22B2"/>
    <w:rsid w:val="00430B72"/>
    <w:rsid w:val="0043656D"/>
    <w:rsid w:val="00490A89"/>
    <w:rsid w:val="004B077A"/>
    <w:rsid w:val="004B52B8"/>
    <w:rsid w:val="00505FE5"/>
    <w:rsid w:val="0050727D"/>
    <w:rsid w:val="005225FA"/>
    <w:rsid w:val="00531F3A"/>
    <w:rsid w:val="0053734A"/>
    <w:rsid w:val="005819F5"/>
    <w:rsid w:val="005C697D"/>
    <w:rsid w:val="005D058E"/>
    <w:rsid w:val="005D0F81"/>
    <w:rsid w:val="005D3C7F"/>
    <w:rsid w:val="005E63B5"/>
    <w:rsid w:val="005F53EC"/>
    <w:rsid w:val="006804FB"/>
    <w:rsid w:val="006B3B24"/>
    <w:rsid w:val="006C5405"/>
    <w:rsid w:val="006D23A7"/>
    <w:rsid w:val="007036FA"/>
    <w:rsid w:val="007041BB"/>
    <w:rsid w:val="00720FDA"/>
    <w:rsid w:val="00746F2F"/>
    <w:rsid w:val="007503B7"/>
    <w:rsid w:val="007630ED"/>
    <w:rsid w:val="00795CBF"/>
    <w:rsid w:val="0079684C"/>
    <w:rsid w:val="007B3421"/>
    <w:rsid w:val="007E6BC7"/>
    <w:rsid w:val="0080140A"/>
    <w:rsid w:val="008A08DE"/>
    <w:rsid w:val="008B328D"/>
    <w:rsid w:val="008B64D3"/>
    <w:rsid w:val="008D2188"/>
    <w:rsid w:val="009303B0"/>
    <w:rsid w:val="0094456F"/>
    <w:rsid w:val="009541FC"/>
    <w:rsid w:val="009957B7"/>
    <w:rsid w:val="009C56D2"/>
    <w:rsid w:val="00A07EE5"/>
    <w:rsid w:val="00A24F14"/>
    <w:rsid w:val="00A53960"/>
    <w:rsid w:val="00A574DB"/>
    <w:rsid w:val="00A63B17"/>
    <w:rsid w:val="00A71845"/>
    <w:rsid w:val="00A94897"/>
    <w:rsid w:val="00AB2FAF"/>
    <w:rsid w:val="00AE443A"/>
    <w:rsid w:val="00AF4760"/>
    <w:rsid w:val="00B00848"/>
    <w:rsid w:val="00B217B8"/>
    <w:rsid w:val="00B45E08"/>
    <w:rsid w:val="00B50DFD"/>
    <w:rsid w:val="00B6282A"/>
    <w:rsid w:val="00BC0047"/>
    <w:rsid w:val="00BE121E"/>
    <w:rsid w:val="00BF0045"/>
    <w:rsid w:val="00C63C45"/>
    <w:rsid w:val="00CA1D6F"/>
    <w:rsid w:val="00CA3048"/>
    <w:rsid w:val="00CD47CA"/>
    <w:rsid w:val="00CF0400"/>
    <w:rsid w:val="00D549B4"/>
    <w:rsid w:val="00D731CF"/>
    <w:rsid w:val="00DB5858"/>
    <w:rsid w:val="00DD6F46"/>
    <w:rsid w:val="00DE2AA2"/>
    <w:rsid w:val="00E3260E"/>
    <w:rsid w:val="00E53BB0"/>
    <w:rsid w:val="00E71AAA"/>
    <w:rsid w:val="00E853B3"/>
    <w:rsid w:val="00EA648D"/>
    <w:rsid w:val="00EA6749"/>
    <w:rsid w:val="00EE6136"/>
    <w:rsid w:val="00F2059D"/>
    <w:rsid w:val="00F8490A"/>
    <w:rsid w:val="00FA7352"/>
    <w:rsid w:val="00FD0524"/>
    <w:rsid w:val="00FF2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B48B1-7253-4606-93E8-E4D67603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8C"/>
    <w:pPr>
      <w:ind w:left="720"/>
      <w:contextualSpacing/>
    </w:pPr>
  </w:style>
  <w:style w:type="paragraph" w:styleId="FootnoteText">
    <w:name w:val="footnote text"/>
    <w:basedOn w:val="Normal"/>
    <w:link w:val="FootnoteTextChar"/>
    <w:uiPriority w:val="99"/>
    <w:semiHidden/>
    <w:unhideWhenUsed/>
    <w:rsid w:val="00795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CBF"/>
    <w:rPr>
      <w:sz w:val="20"/>
      <w:szCs w:val="20"/>
    </w:rPr>
  </w:style>
  <w:style w:type="character" w:styleId="FootnoteReference">
    <w:name w:val="footnote reference"/>
    <w:basedOn w:val="DefaultParagraphFont"/>
    <w:uiPriority w:val="99"/>
    <w:semiHidden/>
    <w:unhideWhenUsed/>
    <w:rsid w:val="00795CBF"/>
    <w:rPr>
      <w:vertAlign w:val="superscript"/>
    </w:rPr>
  </w:style>
  <w:style w:type="paragraph" w:styleId="BalloonText">
    <w:name w:val="Balloon Text"/>
    <w:basedOn w:val="Normal"/>
    <w:link w:val="BalloonTextChar"/>
    <w:uiPriority w:val="99"/>
    <w:semiHidden/>
    <w:unhideWhenUsed/>
    <w:rsid w:val="003F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B2"/>
    <w:rPr>
      <w:rFonts w:ascii="Tahoma" w:hAnsi="Tahoma" w:cs="Tahoma"/>
      <w:sz w:val="16"/>
      <w:szCs w:val="16"/>
    </w:rPr>
  </w:style>
  <w:style w:type="paragraph" w:styleId="EndnoteText">
    <w:name w:val="endnote text"/>
    <w:basedOn w:val="Normal"/>
    <w:link w:val="EndnoteTextChar"/>
    <w:uiPriority w:val="99"/>
    <w:semiHidden/>
    <w:unhideWhenUsed/>
    <w:rsid w:val="00FF20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207C"/>
    <w:rPr>
      <w:sz w:val="20"/>
      <w:szCs w:val="20"/>
    </w:rPr>
  </w:style>
  <w:style w:type="character" w:styleId="EndnoteReference">
    <w:name w:val="endnote reference"/>
    <w:basedOn w:val="DefaultParagraphFont"/>
    <w:uiPriority w:val="99"/>
    <w:semiHidden/>
    <w:unhideWhenUsed/>
    <w:rsid w:val="00FF2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2F15-5D1E-49B3-9607-47455758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EKBO</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Schnabel, Patrick Roger</dc:creator>
  <cp:lastModifiedBy>Henrik HANSSON</cp:lastModifiedBy>
  <cp:revision>2</cp:revision>
  <dcterms:created xsi:type="dcterms:W3CDTF">2017-11-13T10:31:00Z</dcterms:created>
  <dcterms:modified xsi:type="dcterms:W3CDTF">2017-11-13T10:31:00Z</dcterms:modified>
</cp:coreProperties>
</file>